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3B47F" w14:textId="58634ED7" w:rsidR="004C6EDE" w:rsidRDefault="004C6EDE" w:rsidP="004C6EDE">
      <w:pPr>
        <w:pStyle w:val="Subtitle"/>
      </w:pPr>
      <w:r>
        <w:t>Summary Report</w:t>
      </w:r>
    </w:p>
    <w:p w14:paraId="10FE1817" w14:textId="7ED8FCB5" w:rsidR="00F60EE7" w:rsidRPr="004C6EDE" w:rsidRDefault="00F60EE7" w:rsidP="004C6EDE">
      <w:pPr>
        <w:pStyle w:val="Title"/>
        <w:rPr>
          <w:sz w:val="48"/>
        </w:rPr>
      </w:pPr>
      <w:r w:rsidRPr="004C6EDE">
        <w:rPr>
          <w:sz w:val="48"/>
        </w:rPr>
        <w:t>Gender, Legal Reform &amp; Judicial Education</w:t>
      </w:r>
    </w:p>
    <w:p w14:paraId="6E727600" w14:textId="77777777" w:rsidR="004C6EDE" w:rsidRPr="004C6EDE" w:rsidRDefault="004C6EDE" w:rsidP="004C6EDE">
      <w:pPr>
        <w:pStyle w:val="BodyText"/>
      </w:pPr>
      <w:r w:rsidRPr="004C6EDE">
        <w:t xml:space="preserve">This paper is part of the Study for Judicial Education for Family Law Professionals in Morocco (Eastern Region, Taza-Taounat, Azillal), generously funded by the International Development Research Centre (Canada) as a Small Grant Project towards research, knowledge-building, and knowledge-sharing.   The project developed in discussions between Professors Lawrence  &amp; Dua (York University, Canada) and Professors Boukhtil and Touaf (University Mohammed I, Oujda, Morocco).  The project is supported by the Centre for Feminist Research at York University and by the work of many other students and staff at both institutions.  </w:t>
      </w:r>
    </w:p>
    <w:p w14:paraId="7EEEF787" w14:textId="77777777" w:rsidR="00346999" w:rsidRDefault="00346999" w:rsidP="00CD091A">
      <w:pPr>
        <w:pStyle w:val="Heading1"/>
      </w:pPr>
      <w:r>
        <w:t>Introduction</w:t>
      </w:r>
    </w:p>
    <w:p w14:paraId="309AF9B1" w14:textId="77777777" w:rsidR="00346999" w:rsidRDefault="00346999" w:rsidP="00CD091A">
      <w:r>
        <w:t>Judges occupy key roles in the law and culture of both Canada and Morocco.  While law is developed from historical sources and legislative action, many systems are involved in the ways that laws actually affect the lives of</w:t>
      </w:r>
      <w:r w:rsidR="00F81A59">
        <w:t xml:space="preserve"> citizens.  Judges</w:t>
      </w:r>
      <w:r>
        <w:t>, as they interpret the law, exercise their legitimate d</w:t>
      </w:r>
      <w:r w:rsidR="00F81A59">
        <w:t xml:space="preserve">iscretion, and render judgment, whether in local courts or the highest appellate courts, act in ways which promote change or maintain the status quo. </w:t>
      </w:r>
    </w:p>
    <w:p w14:paraId="4469DAAF" w14:textId="77777777" w:rsidR="00F60EE7" w:rsidRDefault="00F81A59" w:rsidP="00CD091A">
      <w:r>
        <w:t>As many legal scholars have noted, this power of judges is one of the reasons that legislative change, changes to legal codes and rules promulgated by democratic institutions, do not always translate into social change.   They are also a mechanism by which changes in social understandings can enter the law – or be blocked. Especially in a world in which we are increasingly oriented towards a discourse of rights, it is important to avoid simplification of the complex relationship between social activism by civil society actors, legal change directed by legislators, and meaningful changes in the lives of individuals living under law.  Without dismissing the significance of other parts of this web of interaction (in particular, the civil society activity which generates and supports social change), this project focuses on the question of how judges learn about and implement changed norms and rules.</w:t>
      </w:r>
      <w:r w:rsidR="000D529D">
        <w:rPr>
          <w:rStyle w:val="FootnoteReference"/>
        </w:rPr>
        <w:footnoteReference w:id="1"/>
      </w:r>
      <w:r>
        <w:t xml:space="preserve"> </w:t>
      </w:r>
    </w:p>
    <w:p w14:paraId="2BF74E2E" w14:textId="77777777" w:rsidR="00334330" w:rsidRDefault="00F81A59" w:rsidP="00CD091A">
      <w:r>
        <w:t xml:space="preserve">In our discussions, which focused on the major changes implemented in Moroccan family law in 2004 (the “moudawana”), the Research Team considered the similarity of issues </w:t>
      </w:r>
      <w:r>
        <w:lastRenderedPageBreak/>
        <w:t>which have arisen in Canada and Morocco, issues which centre on indicat</w:t>
      </w:r>
      <w:r w:rsidR="00334330">
        <w:t xml:space="preserve">ions that judges often resist changes, either not implementing them, or implementing them in ways which are half hearted or otherwise not likely to produce the change they were designed to support.   We were interested in two aspects of this issue: </w:t>
      </w:r>
    </w:p>
    <w:p w14:paraId="497F160C" w14:textId="77777777" w:rsidR="00334330" w:rsidRDefault="00334330" w:rsidP="00CD091A">
      <w:pPr>
        <w:pStyle w:val="ListParagraph"/>
        <w:numPr>
          <w:ilvl w:val="0"/>
          <w:numId w:val="4"/>
        </w:numPr>
      </w:pPr>
      <w:r>
        <w:t>Can we quantify the extent to which judges serve to block socially important legal change and otherwise support social norms that legislatures have indicated should shift?</w:t>
      </w:r>
    </w:p>
    <w:p w14:paraId="2B7DB44F" w14:textId="77777777" w:rsidR="00334330" w:rsidRDefault="00334330" w:rsidP="00CD091A">
      <w:pPr>
        <w:pStyle w:val="ListParagraph"/>
        <w:numPr>
          <w:ilvl w:val="0"/>
          <w:numId w:val="4"/>
        </w:numPr>
      </w:pPr>
      <w:r>
        <w:t>Can judges be educated to diminish the kind of behaviour (which might or might not amount to legal error) described above?</w:t>
      </w:r>
    </w:p>
    <w:p w14:paraId="107B0E66" w14:textId="77777777" w:rsidR="00334330" w:rsidRDefault="00334330" w:rsidP="00CD091A">
      <w:r>
        <w:t xml:space="preserve">This paper deals mainly with the second question above, while a study conducted in the Moroccan Courts as part of this project dealt mainly with the first.  </w:t>
      </w:r>
    </w:p>
    <w:p w14:paraId="5709A431" w14:textId="7F15D9B0" w:rsidR="00334330" w:rsidRDefault="00334330" w:rsidP="00CD091A">
      <w:r>
        <w:t xml:space="preserve">Judicial education is a fraught topic since it must be placed beside the emphasis rightly placed on judicial independence.  While this project does not aim to generate a defence of legal education against charges (especially in common law jurisdictions) that attempting to provide training to judges, simpliciter, is an inappropriate interference with the judicial function.  Various iterations of this </w:t>
      </w:r>
      <w:r w:rsidR="00E72EE2">
        <w:t xml:space="preserve">complaint and </w:t>
      </w:r>
      <w:r>
        <w:t>defence have already been written.</w:t>
      </w:r>
      <w:r w:rsidR="00E72EE2" w:rsidRPr="00E72EE2">
        <w:rPr>
          <w:rStyle w:val="FootnoteReference"/>
        </w:rPr>
        <w:t xml:space="preserve"> </w:t>
      </w:r>
      <w:r w:rsidR="00E72EE2">
        <w:rPr>
          <w:rStyle w:val="FootnoteReference"/>
        </w:rPr>
        <w:footnoteReference w:id="2"/>
      </w:r>
      <w:r>
        <w:t xml:space="preserve">  Rather, in this paper, we</w:t>
      </w:r>
      <w:r w:rsidR="00042778">
        <w:t xml:space="preserve"> provide an introduction to the scholarly and professional</w:t>
      </w:r>
      <w:r>
        <w:t xml:space="preserve"> literature about judicial education across the globe, with a particular focus on what is called “social context education” around gender inequalities</w:t>
      </w:r>
      <w:r w:rsidR="00042778">
        <w:t xml:space="preserve">.  This information and the associated list of references will be of use to civil society organizations, judicial organizations, law reform efforts, and others. </w:t>
      </w:r>
    </w:p>
    <w:p w14:paraId="40CE9D1B" w14:textId="5FC020D4" w:rsidR="005E7BAC" w:rsidRDefault="00E063A6" w:rsidP="00CD091A">
      <w:pPr>
        <w:pStyle w:val="Heading1"/>
      </w:pPr>
      <w:r w:rsidRPr="00346999">
        <w:t xml:space="preserve">Description </w:t>
      </w:r>
      <w:r w:rsidR="005E7BAC" w:rsidRPr="00346999">
        <w:t xml:space="preserve">of </w:t>
      </w:r>
      <w:r w:rsidR="0093670F">
        <w:t>the larger project</w:t>
      </w:r>
      <w:r w:rsidR="005E7BAC" w:rsidRPr="00346999">
        <w:t xml:space="preserve">  </w:t>
      </w:r>
    </w:p>
    <w:p w14:paraId="516DE26F" w14:textId="77777777" w:rsidR="00F91260" w:rsidRPr="00F91260" w:rsidRDefault="00F91260" w:rsidP="00CD091A"/>
    <w:p w14:paraId="303D9B6E" w14:textId="71D526BA" w:rsidR="004E5278" w:rsidRPr="00F91260" w:rsidRDefault="004C6EDE" w:rsidP="00CD091A">
      <w:pPr>
        <w:rPr>
          <w:lang w:val="en-US"/>
        </w:rPr>
      </w:pPr>
      <w:r>
        <w:rPr>
          <w:lang w:val="en-US"/>
        </w:rPr>
        <w:t>Our</w:t>
      </w:r>
      <w:r w:rsidR="004E5278" w:rsidRPr="00F91260">
        <w:rPr>
          <w:lang w:val="en-US"/>
        </w:rPr>
        <w:t xml:space="preserve"> project addresses the timely IDRC priority areas as it aims to develop collaborative research to build capacity for Canadian and Moroccan partners to affect social and economic policies on gender issues in Morocco. Recent research in Morocco suggests that despite significant reforms to laws that impact women, these reforms have not achieved their full potential (Eisenberg, 2011). While Morocco has introduced reform to marriage, divorce, inheritance, and child custody laws, the successful implementation of these changes requires that judges be aware of these reforms and willing to challenge conventional gender-based codes. Our preliminary research suggest</w:t>
      </w:r>
      <w:r w:rsidR="004E5278">
        <w:rPr>
          <w:lang w:val="en-US"/>
        </w:rPr>
        <w:t xml:space="preserve">ed </w:t>
      </w:r>
      <w:r w:rsidR="004E5278" w:rsidRPr="00F91260">
        <w:rPr>
          <w:lang w:val="en-US"/>
        </w:rPr>
        <w:t xml:space="preserve">that judges, drawing on </w:t>
      </w:r>
      <w:r w:rsidR="004E5278" w:rsidRPr="00F91260">
        <w:rPr>
          <w:lang w:val="en-US"/>
        </w:rPr>
        <w:lastRenderedPageBreak/>
        <w:t>conservative and religious frameworks, may lack that willingness. Such approaches not only deny women their legal rights, they structure women’s economic and social well-being. This pattern points to the importance of research on judicial decision-making and ways of intervention.</w:t>
      </w:r>
    </w:p>
    <w:p w14:paraId="4680A8D9" w14:textId="77777777" w:rsidR="004E5278" w:rsidRPr="00F91260" w:rsidRDefault="004E5278" w:rsidP="00CD091A">
      <w:pPr>
        <w:rPr>
          <w:lang w:val="en-US"/>
        </w:rPr>
      </w:pPr>
      <w:r w:rsidRPr="00F91260">
        <w:rPr>
          <w:lang w:val="en-US"/>
        </w:rPr>
        <w:t>Since the French establishment of the Moroccan judicial system, the religious nature of family law has deeply affected women’s social and economic conditions. Local women’s organizations denounce the double standard in the legal system of the country, pointing out that the lack of gender equity within family law makes it difficult for women to leave abusive relationships, thus contributing to systemic violence against women.</w:t>
      </w:r>
    </w:p>
    <w:p w14:paraId="50DA5729" w14:textId="77777777" w:rsidR="004E5278" w:rsidRPr="00F91260" w:rsidRDefault="004E5278" w:rsidP="00CD091A">
      <w:pPr>
        <w:rPr>
          <w:lang w:val="en-US"/>
        </w:rPr>
      </w:pPr>
      <w:r w:rsidRPr="00F91260">
        <w:rPr>
          <w:lang w:val="en-US"/>
        </w:rPr>
        <w:t>In 1993, under former King Hassan II, a first attempt was made to reform family law and separate it from its religious foundations. Although the changes were not extensive, they marked a turning point in the history of feminist movements in Morocco. In 2004, the parliament ratified substantial reforms to family law aimed at establishing gender equality. These included fixing the age of marriage at</w:t>
      </w:r>
    </w:p>
    <w:p w14:paraId="634EA0ED" w14:textId="77777777" w:rsidR="004E5278" w:rsidRPr="00F91260" w:rsidRDefault="004E5278" w:rsidP="00CD091A">
      <w:pPr>
        <w:rPr>
          <w:lang w:val="en-US"/>
        </w:rPr>
      </w:pPr>
      <w:r w:rsidRPr="00F91260">
        <w:rPr>
          <w:lang w:val="en-US"/>
        </w:rPr>
        <w:t>18 years for both sexes, making polygamy virtually impossible, giving priority in child custody to the mother, and requiring judicial pronouncement for divorce. In July 2009, rights pertaining to communal land were partially amended through the Ministerial Decree No 2620, recognizing women as beneficiaries in transfer or sale of land.</w:t>
      </w:r>
    </w:p>
    <w:p w14:paraId="5A80868D" w14:textId="77777777" w:rsidR="004E5278" w:rsidRPr="00F91260" w:rsidRDefault="004E5278" w:rsidP="00CD091A">
      <w:pPr>
        <w:rPr>
          <w:lang w:val="en-US"/>
        </w:rPr>
      </w:pPr>
      <w:r w:rsidRPr="00F91260">
        <w:rPr>
          <w:lang w:val="en-US"/>
        </w:rPr>
        <w:t>However, as a number of studies indicate, these changes have had little impact on the lives of women. A survey of women seeking justice through the courts found that although the number of women using the courts increased after the new law was implemented, 2 out of 3 women experience great hardship in obtaining their rights. Due to such difficulties, many women remain in abusive relationships. Indeed, a recent government report on the prevalence of gender-based violence among married or divorced women shows that 17% of Moroccan women experience violence in marriage due the courts’ failure to correctly apply the Family Code. As a</w:t>
      </w:r>
      <w:r w:rsidRPr="00F91260">
        <w:rPr>
          <w:noProof/>
          <w:lang w:eastAsia="en-CA"/>
        </w:rPr>
        <mc:AlternateContent>
          <mc:Choice Requires="wpg">
            <w:drawing>
              <wp:anchor distT="0" distB="0" distL="114300" distR="114300" simplePos="0" relativeHeight="251655680" behindDoc="1" locked="0" layoutInCell="1" allowOverlap="1" wp14:anchorId="4EFB1056" wp14:editId="10AE9075">
                <wp:simplePos x="0" y="0"/>
                <wp:positionH relativeFrom="page">
                  <wp:posOffset>441325</wp:posOffset>
                </wp:positionH>
                <wp:positionV relativeFrom="paragraph">
                  <wp:posOffset>-3513455</wp:posOffset>
                </wp:positionV>
                <wp:extent cx="6888480" cy="3810000"/>
                <wp:effectExtent l="0" t="444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3810000"/>
                          <a:chOff x="696" y="-5533"/>
                          <a:chExt cx="10848" cy="6000"/>
                        </a:xfrm>
                      </wpg:grpSpPr>
                      <wps:wsp>
                        <wps:cNvPr id="2" name="Freeform 3"/>
                        <wps:cNvSpPr>
                          <a:spLocks/>
                        </wps:cNvSpPr>
                        <wps:spPr bwMode="auto">
                          <a:xfrm>
                            <a:off x="696" y="-5533"/>
                            <a:ext cx="10848" cy="6000"/>
                          </a:xfrm>
                          <a:custGeom>
                            <a:avLst/>
                            <a:gdLst>
                              <a:gd name="T0" fmla="+- 0 696 696"/>
                              <a:gd name="T1" fmla="*/ T0 w 10848"/>
                              <a:gd name="T2" fmla="+- 0 467 -5533"/>
                              <a:gd name="T3" fmla="*/ 467 h 6000"/>
                              <a:gd name="T4" fmla="+- 0 11544 696"/>
                              <a:gd name="T5" fmla="*/ T4 w 10848"/>
                              <a:gd name="T6" fmla="+- 0 467 -5533"/>
                              <a:gd name="T7" fmla="*/ 467 h 6000"/>
                              <a:gd name="T8" fmla="+- 0 11544 696"/>
                              <a:gd name="T9" fmla="*/ T8 w 10848"/>
                              <a:gd name="T10" fmla="+- 0 -5533 -5533"/>
                              <a:gd name="T11" fmla="*/ -5533 h 6000"/>
                              <a:gd name="T12" fmla="+- 0 696 696"/>
                              <a:gd name="T13" fmla="*/ T12 w 10848"/>
                              <a:gd name="T14" fmla="+- 0 -5533 -5533"/>
                              <a:gd name="T15" fmla="*/ -5533 h 6000"/>
                              <a:gd name="T16" fmla="+- 0 696 696"/>
                              <a:gd name="T17" fmla="*/ T16 w 10848"/>
                              <a:gd name="T18" fmla="+- 0 467 -5533"/>
                              <a:gd name="T19" fmla="*/ 467 h 6000"/>
                            </a:gdLst>
                            <a:ahLst/>
                            <a:cxnLst>
                              <a:cxn ang="0">
                                <a:pos x="T1" y="T3"/>
                              </a:cxn>
                              <a:cxn ang="0">
                                <a:pos x="T5" y="T7"/>
                              </a:cxn>
                              <a:cxn ang="0">
                                <a:pos x="T9" y="T11"/>
                              </a:cxn>
                              <a:cxn ang="0">
                                <a:pos x="T13" y="T15"/>
                              </a:cxn>
                              <a:cxn ang="0">
                                <a:pos x="T17" y="T19"/>
                              </a:cxn>
                            </a:cxnLst>
                            <a:rect l="0" t="0" r="r" b="b"/>
                            <a:pathLst>
                              <a:path w="10848" h="6000">
                                <a:moveTo>
                                  <a:pt x="0" y="6000"/>
                                </a:moveTo>
                                <a:lnTo>
                                  <a:pt x="10848" y="6000"/>
                                </a:lnTo>
                                <a:lnTo>
                                  <a:pt x="10848" y="0"/>
                                </a:lnTo>
                                <a:lnTo>
                                  <a:pt x="0" y="0"/>
                                </a:lnTo>
                                <a:lnTo>
                                  <a:pt x="0" y="6000"/>
                                </a:lnTo>
                              </a:path>
                            </a:pathLst>
                          </a:custGeom>
                          <a:solidFill>
                            <a:srgbClr val="EDEDE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F4306" id="Group 2" o:spid="_x0000_s1026" style="position:absolute;margin-left:34.75pt;margin-top:-276.65pt;width:542.4pt;height:300pt;z-index:-251660800;mso-position-horizontal-relative:page" coordorigin="696,-5533" coordsize="1084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">
                <v:shape id="Freeform 3" o:spid="_x0000_s1027" style="position:absolute;left:696;top:-5533;width:10848;height:6000;visibility:visible;mso-wrap-style:square;v-text-anchor:top" coordsize="1084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" path="m,6000r10848,l10848,,,,,6000e" fillcolor="#ededed" stroked="f">
                  <v:path arrowok="t" o:connecttype="custom" o:connectlocs="0,467;10848,467;10848,-5533;0,-5533;0,467" o:connectangles="0,0,0,0,0"/>
                </v:shape>
                <w10:wrap anchorx="page"/>
              </v:group>
            </w:pict>
          </mc:Fallback>
        </mc:AlternateContent>
      </w:r>
      <w:r>
        <w:rPr>
          <w:lang w:val="en-US"/>
        </w:rPr>
        <w:t xml:space="preserve"> </w:t>
      </w:r>
      <w:r w:rsidRPr="00F91260">
        <w:rPr>
          <w:lang w:val="en-US"/>
        </w:rPr>
        <w:t>result of the failure to consistently apply the reformed laws, the law continues to underserve women. This project investigates a crucial actor in this process – judicial decision-making.</w:t>
      </w:r>
    </w:p>
    <w:p w14:paraId="0FB6C2FD" w14:textId="77777777" w:rsidR="004E5278" w:rsidRPr="005E7BAC" w:rsidRDefault="004E5278" w:rsidP="00CD091A">
      <w:pPr>
        <w:rPr>
          <w:lang w:val="en-US"/>
        </w:rPr>
      </w:pPr>
      <w:r w:rsidRPr="005E7BAC">
        <w:rPr>
          <w:lang w:val="en-US"/>
        </w:rPr>
        <w:t>The project will produce policy-relevant knowledge and propose culturally-sensitive judicial education strategies centred on the</w:t>
      </w:r>
      <w:r>
        <w:rPr>
          <w:lang w:val="en-US"/>
        </w:rPr>
        <w:t xml:space="preserve"> </w:t>
      </w:r>
      <w:r w:rsidRPr="005E7BAC">
        <w:rPr>
          <w:lang w:val="en-US"/>
        </w:rPr>
        <w:t>Moroccan Family Code’s attention to women’s legal rights.</w:t>
      </w:r>
    </w:p>
    <w:p w14:paraId="71632FBC" w14:textId="77777777" w:rsidR="004E5278" w:rsidRPr="005E7BAC" w:rsidRDefault="004E5278" w:rsidP="00CD091A">
      <w:pPr>
        <w:rPr>
          <w:lang w:val="en-US"/>
        </w:rPr>
      </w:pPr>
      <w:r w:rsidRPr="005E7BAC">
        <w:rPr>
          <w:lang w:val="en-US"/>
        </w:rPr>
        <w:t>The project has three objectives: to investigate ways in which Moroccan judges make decisions in cases involving family law; to research different pedagogical approaches' applicability to Moroccan judicial education; and to facilitate collaboration between Canadian and Moroccan experts in sharing expertise on judicial education. These objectives are aligned with IDRC(CP) objectives – collaboration, influence on policy and practice, and improving learning capacity.</w:t>
      </w:r>
    </w:p>
    <w:p w14:paraId="052B389C" w14:textId="77777777" w:rsidR="004E5278" w:rsidRDefault="004E5278" w:rsidP="00CD091A">
      <w:pPr>
        <w:rPr>
          <w:b/>
          <w:lang w:val="en-US"/>
        </w:rPr>
      </w:pPr>
      <w:r w:rsidRPr="005E7BAC">
        <w:rPr>
          <w:lang w:val="en-US"/>
        </w:rPr>
        <w:lastRenderedPageBreak/>
        <w:t xml:space="preserve">First, we </w:t>
      </w:r>
      <w:r>
        <w:rPr>
          <w:lang w:val="en-US"/>
        </w:rPr>
        <w:t xml:space="preserve">have </w:t>
      </w:r>
      <w:r w:rsidRPr="005E7BAC">
        <w:rPr>
          <w:lang w:val="en-US"/>
        </w:rPr>
        <w:t>undertake</w:t>
      </w:r>
      <w:r>
        <w:rPr>
          <w:lang w:val="en-US"/>
        </w:rPr>
        <w:t>n</w:t>
      </w:r>
      <w:r w:rsidRPr="005E7BAC">
        <w:rPr>
          <w:lang w:val="en-US"/>
        </w:rPr>
        <w:t xml:space="preserve"> a national study of judicial decision-making in Morocco to assess the impact of family law reform. </w:t>
      </w:r>
      <w:r>
        <w:rPr>
          <w:lang w:val="en-US"/>
        </w:rPr>
        <w:t xml:space="preserve">This study presents new data on the extent to which reforms in family and assault laws are being implemented. </w:t>
      </w:r>
    </w:p>
    <w:p w14:paraId="66276F25" w14:textId="77777777" w:rsidR="004E5278" w:rsidRDefault="004E5278" w:rsidP="00CD091A">
      <w:pPr>
        <w:rPr>
          <w:lang w:val="en-US"/>
        </w:rPr>
      </w:pPr>
      <w:r w:rsidRPr="005E7BAC">
        <w:rPr>
          <w:lang w:val="en-US"/>
        </w:rPr>
        <w:t>Second, as there is no existing Moroccan program for judicial education in family law (with only a few in other judicial educational areas) we</w:t>
      </w:r>
      <w:r>
        <w:rPr>
          <w:lang w:val="en-US"/>
        </w:rPr>
        <w:t xml:space="preserve"> examined </w:t>
      </w:r>
      <w:r w:rsidRPr="005E7BAC">
        <w:rPr>
          <w:lang w:val="en-US"/>
        </w:rPr>
        <w:t>the applicability of current approaches to judicial education. Given that research demonstrates the importance</w:t>
      </w:r>
      <w:r>
        <w:rPr>
          <w:lang w:val="en-US"/>
        </w:rPr>
        <w:t xml:space="preserve"> </w:t>
      </w:r>
      <w:r w:rsidRPr="005E7BAC">
        <w:rPr>
          <w:lang w:val="en-US"/>
        </w:rPr>
        <w:t xml:space="preserve">of appropriate pedagogical techniques in judicial education, we </w:t>
      </w:r>
      <w:r>
        <w:rPr>
          <w:lang w:val="en-US"/>
        </w:rPr>
        <w:t xml:space="preserve">have prepared detailed resources for </w:t>
      </w:r>
      <w:r w:rsidRPr="005E7BAC">
        <w:rPr>
          <w:lang w:val="en-US"/>
        </w:rPr>
        <w:t>developing pedagogical approaches to judicial education</w:t>
      </w:r>
      <w:r>
        <w:rPr>
          <w:lang w:val="en-US"/>
        </w:rPr>
        <w:t xml:space="preserve">. </w:t>
      </w:r>
      <w:r w:rsidRPr="005E7BAC">
        <w:rPr>
          <w:noProof/>
          <w:lang w:eastAsia="en-CA"/>
        </w:rPr>
        <mc:AlternateContent>
          <mc:Choice Requires="wpg">
            <w:drawing>
              <wp:anchor distT="0" distB="0" distL="114300" distR="114300" simplePos="0" relativeHeight="251656704" behindDoc="1" locked="0" layoutInCell="1" allowOverlap="1" wp14:anchorId="13E88A7C" wp14:editId="5B157071">
                <wp:simplePos x="0" y="0"/>
                <wp:positionH relativeFrom="page">
                  <wp:posOffset>441325</wp:posOffset>
                </wp:positionH>
                <wp:positionV relativeFrom="paragraph">
                  <wp:posOffset>-1532255</wp:posOffset>
                </wp:positionV>
                <wp:extent cx="6888480" cy="2286000"/>
                <wp:effectExtent l="0" t="4445" r="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2286000"/>
                          <a:chOff x="696" y="-2413"/>
                          <a:chExt cx="10848" cy="3600"/>
                        </a:xfrm>
                      </wpg:grpSpPr>
                      <wps:wsp>
                        <wps:cNvPr id="10" name="Freeform 5"/>
                        <wps:cNvSpPr>
                          <a:spLocks/>
                        </wps:cNvSpPr>
                        <wps:spPr bwMode="auto">
                          <a:xfrm>
                            <a:off x="696" y="-2413"/>
                            <a:ext cx="10848" cy="3600"/>
                          </a:xfrm>
                          <a:custGeom>
                            <a:avLst/>
                            <a:gdLst>
                              <a:gd name="T0" fmla="+- 0 696 696"/>
                              <a:gd name="T1" fmla="*/ T0 w 10848"/>
                              <a:gd name="T2" fmla="+- 0 1187 -2413"/>
                              <a:gd name="T3" fmla="*/ 1187 h 3600"/>
                              <a:gd name="T4" fmla="+- 0 11544 696"/>
                              <a:gd name="T5" fmla="*/ T4 w 10848"/>
                              <a:gd name="T6" fmla="+- 0 1187 -2413"/>
                              <a:gd name="T7" fmla="*/ 1187 h 3600"/>
                              <a:gd name="T8" fmla="+- 0 11544 696"/>
                              <a:gd name="T9" fmla="*/ T8 w 10848"/>
                              <a:gd name="T10" fmla="+- 0 -2413 -2413"/>
                              <a:gd name="T11" fmla="*/ -2413 h 3600"/>
                              <a:gd name="T12" fmla="+- 0 696 696"/>
                              <a:gd name="T13" fmla="*/ T12 w 10848"/>
                              <a:gd name="T14" fmla="+- 0 -2413 -2413"/>
                              <a:gd name="T15" fmla="*/ -2413 h 3600"/>
                              <a:gd name="T16" fmla="+- 0 696 696"/>
                              <a:gd name="T17" fmla="*/ T16 w 10848"/>
                              <a:gd name="T18" fmla="+- 0 1187 -2413"/>
                              <a:gd name="T19" fmla="*/ 1187 h 3600"/>
                            </a:gdLst>
                            <a:ahLst/>
                            <a:cxnLst>
                              <a:cxn ang="0">
                                <a:pos x="T1" y="T3"/>
                              </a:cxn>
                              <a:cxn ang="0">
                                <a:pos x="T5" y="T7"/>
                              </a:cxn>
                              <a:cxn ang="0">
                                <a:pos x="T9" y="T11"/>
                              </a:cxn>
                              <a:cxn ang="0">
                                <a:pos x="T13" y="T15"/>
                              </a:cxn>
                              <a:cxn ang="0">
                                <a:pos x="T17" y="T19"/>
                              </a:cxn>
                            </a:cxnLst>
                            <a:rect l="0" t="0" r="r" b="b"/>
                            <a:pathLst>
                              <a:path w="10848" h="3600">
                                <a:moveTo>
                                  <a:pt x="0" y="3600"/>
                                </a:moveTo>
                                <a:lnTo>
                                  <a:pt x="10848" y="3600"/>
                                </a:lnTo>
                                <a:lnTo>
                                  <a:pt x="10848" y="0"/>
                                </a:lnTo>
                                <a:lnTo>
                                  <a:pt x="0" y="0"/>
                                </a:lnTo>
                                <a:lnTo>
                                  <a:pt x="0" y="3600"/>
                                </a:lnTo>
                              </a:path>
                            </a:pathLst>
                          </a:custGeom>
                          <a:solidFill>
                            <a:srgbClr val="EDEDE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90716" id="Group 4" o:spid="_x0000_s1026" style="position:absolute;margin-left:34.75pt;margin-top:-120.65pt;width:542.4pt;height:180pt;z-index:-251659776;mso-position-horizontal-relative:page" coordorigin="696,-2413" coordsize="1084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">
                <v:shape id="Freeform 5" o:spid="_x0000_s1027" style="position:absolute;left:696;top:-2413;width:10848;height:3600;visibility:visible;mso-wrap-style:square;v-text-anchor:top" coordsize="10848,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" path="m,3600r10848,l10848,,,,,3600e" fillcolor="#ededed" stroked="f">
                  <v:path arrowok="t" o:connecttype="custom" o:connectlocs="0,1187;10848,1187;10848,-2413;0,-2413;0,1187" o:connectangles="0,0,0,0,0"/>
                </v:shape>
                <w10:wrap anchorx="page"/>
              </v:group>
            </w:pict>
          </mc:Fallback>
        </mc:AlternateContent>
      </w:r>
    </w:p>
    <w:p w14:paraId="193F6CC5" w14:textId="11DFBA4E" w:rsidR="005E7BAC" w:rsidRDefault="004E5278" w:rsidP="00CD091A">
      <w:pPr>
        <w:rPr>
          <w:b/>
          <w:lang w:val="en-US"/>
        </w:rPr>
      </w:pPr>
      <w:r>
        <w:rPr>
          <w:lang w:val="en-US"/>
        </w:rPr>
        <w:t xml:space="preserve">Third, </w:t>
      </w:r>
      <w:r w:rsidRPr="005E7BAC">
        <w:rPr>
          <w:lang w:val="en-US"/>
        </w:rPr>
        <w:t xml:space="preserve">a workshop that </w:t>
      </w:r>
      <w:r>
        <w:rPr>
          <w:lang w:val="en-US"/>
        </w:rPr>
        <w:t xml:space="preserve">brought together </w:t>
      </w:r>
      <w:r w:rsidRPr="005E7BAC">
        <w:rPr>
          <w:lang w:val="en-US"/>
        </w:rPr>
        <w:t xml:space="preserve">Canadian </w:t>
      </w:r>
      <w:r>
        <w:rPr>
          <w:lang w:val="en-US"/>
        </w:rPr>
        <w:t xml:space="preserve">and Moroccan </w:t>
      </w:r>
      <w:r w:rsidRPr="005E7BAC">
        <w:rPr>
          <w:lang w:val="en-US"/>
        </w:rPr>
        <w:t xml:space="preserve">experts in judicial education and gender equity </w:t>
      </w:r>
      <w:r>
        <w:rPr>
          <w:lang w:val="en-US"/>
        </w:rPr>
        <w:t>to discuss the issues and possibilities of judicial education in</w:t>
      </w:r>
      <w:r w:rsidRPr="005E7BAC">
        <w:rPr>
          <w:lang w:val="en-US"/>
        </w:rPr>
        <w:t xml:space="preserve"> Morocco. </w:t>
      </w:r>
      <w:r w:rsidR="00E063A6" w:rsidRPr="00E063A6">
        <w:rPr>
          <w:b/>
          <w:lang w:val="en-US"/>
        </w:rPr>
        <w:t>Add detail</w:t>
      </w:r>
    </w:p>
    <w:p w14:paraId="313C883A" w14:textId="77777777" w:rsidR="005F7D02" w:rsidRDefault="005F7D02" w:rsidP="00CD091A">
      <w:pPr>
        <w:pStyle w:val="Heading1"/>
      </w:pPr>
      <w:r w:rsidRPr="00346999">
        <w:t xml:space="preserve">Description of </w:t>
      </w:r>
      <w:r>
        <w:t xml:space="preserve"> </w:t>
      </w:r>
      <w:r w:rsidRPr="00346999">
        <w:t xml:space="preserve">partners </w:t>
      </w:r>
    </w:p>
    <w:p w14:paraId="71547585" w14:textId="77777777" w:rsidR="00D90075" w:rsidRPr="00D90075" w:rsidRDefault="00D90075" w:rsidP="00CD091A">
      <w:r w:rsidRPr="00D90075">
        <w:t xml:space="preserve">This work was carried out with the aid of a grant from the International Development Research Centre, Ottawa, Canada, </w:t>
      </w:r>
      <w:bookmarkStart w:id="0" w:name="_Toc478727936"/>
      <w:r w:rsidRPr="00D90075">
        <w:t>IDRC</w:t>
      </w:r>
      <w:bookmarkEnd w:id="0"/>
      <w:r>
        <w:t>.</w:t>
      </w:r>
    </w:p>
    <w:p w14:paraId="502D50CC" w14:textId="77777777" w:rsidR="00D90075" w:rsidRPr="00D90075" w:rsidRDefault="00D90075" w:rsidP="004C6EDE">
      <w:pPr>
        <w:pStyle w:val="Heading2"/>
      </w:pPr>
      <w:bookmarkStart w:id="1" w:name="_Toc478727940"/>
      <w:r w:rsidRPr="00D90075">
        <w:t>Research Institutions</w:t>
      </w:r>
      <w:bookmarkEnd w:id="1"/>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tblGrid>
      <w:tr w:rsidR="00D90075" w:rsidRPr="00D90075" w14:paraId="0E8145E3" w14:textId="77777777" w:rsidTr="00D90075">
        <w:tc>
          <w:tcPr>
            <w:tcW w:w="3546" w:type="dxa"/>
          </w:tcPr>
          <w:p w14:paraId="75818815" w14:textId="77777777" w:rsidR="00D90075" w:rsidRPr="00D90075" w:rsidRDefault="00D90075" w:rsidP="00CD091A">
            <w:r w:rsidRPr="00D90075">
              <w:t>Centre for Feminist Research</w:t>
            </w:r>
          </w:p>
          <w:p w14:paraId="054E9601" w14:textId="77777777" w:rsidR="00D90075" w:rsidRPr="00D90075" w:rsidRDefault="00D90075" w:rsidP="00CD091A">
            <w:r w:rsidRPr="00D90075">
              <w:t>York University</w:t>
            </w:r>
          </w:p>
          <w:p w14:paraId="32DD47F5" w14:textId="77777777" w:rsidR="00D90075" w:rsidRPr="00D90075" w:rsidRDefault="00D90075" w:rsidP="00CD091A">
            <w:r w:rsidRPr="00D90075">
              <w:t>4700 Keele Street</w:t>
            </w:r>
          </w:p>
          <w:p w14:paraId="6E1E4031" w14:textId="77777777" w:rsidR="00D90075" w:rsidRDefault="00D90075" w:rsidP="00CD091A">
            <w:r w:rsidRPr="00D90075">
              <w:t>Toronto Ontario M6E 2S1</w:t>
            </w:r>
          </w:p>
          <w:p w14:paraId="19918EDD" w14:textId="77777777" w:rsidR="00D90075" w:rsidRDefault="00D90075" w:rsidP="00CD091A"/>
          <w:p w14:paraId="00227FE4" w14:textId="77777777" w:rsidR="00D90075" w:rsidRDefault="00D90075" w:rsidP="00CD091A">
            <w:r>
              <w:t>Université Mohammed Premier</w:t>
            </w:r>
          </w:p>
          <w:p w14:paraId="46910BDE" w14:textId="77777777" w:rsidR="00D90075" w:rsidRDefault="00D90075" w:rsidP="00CD091A">
            <w:r>
              <w:t>Oujda 60000</w:t>
            </w:r>
          </w:p>
          <w:p w14:paraId="45812CC6" w14:textId="77777777" w:rsidR="00D90075" w:rsidRDefault="00D90075" w:rsidP="00CD091A">
            <w:r>
              <w:t>Morocco</w:t>
            </w:r>
          </w:p>
          <w:p w14:paraId="079F8A17" w14:textId="77777777" w:rsidR="00D90075" w:rsidRPr="00D90075" w:rsidRDefault="00D90075" w:rsidP="00CD091A"/>
        </w:tc>
      </w:tr>
    </w:tbl>
    <w:p w14:paraId="1062CB6B" w14:textId="6086FA0B" w:rsidR="00863137" w:rsidRPr="00D90075" w:rsidRDefault="004C6EDE" w:rsidP="004C6EDE">
      <w:pPr>
        <w:pStyle w:val="Heading2"/>
        <w:rPr>
          <w:lang w:val="en-US"/>
        </w:rPr>
      </w:pPr>
      <w:r>
        <w:rPr>
          <w:lang w:val="en-US"/>
        </w:rPr>
        <w:t>Core Team Members</w:t>
      </w:r>
    </w:p>
    <w:p w14:paraId="392272F5" w14:textId="77777777" w:rsidR="00863137" w:rsidRPr="000133F7" w:rsidRDefault="00863137" w:rsidP="004C6EDE">
      <w:pPr>
        <w:pStyle w:val="Heading3"/>
        <w:rPr>
          <w:lang w:val="en-US"/>
        </w:rPr>
      </w:pPr>
      <w:r w:rsidRPr="000133F7">
        <w:rPr>
          <w:lang w:val="en-US"/>
        </w:rPr>
        <w:t xml:space="preserve">Sonia Lawrence, Canada </w:t>
      </w:r>
    </w:p>
    <w:p w14:paraId="79A0E57C" w14:textId="77777777" w:rsidR="000133F7" w:rsidRPr="000133F7" w:rsidRDefault="000133F7" w:rsidP="00CD091A">
      <w:pPr>
        <w:pStyle w:val="ListParagraph"/>
        <w:rPr>
          <w:lang w:val="en-US"/>
        </w:rPr>
      </w:pPr>
    </w:p>
    <w:p w14:paraId="2C90C700" w14:textId="77777777" w:rsidR="000133F7" w:rsidRPr="000133F7" w:rsidRDefault="000133F7" w:rsidP="00CD091A">
      <w:pPr>
        <w:pStyle w:val="ListParagraph"/>
        <w:rPr>
          <w:b/>
          <w:lang w:val="en-US"/>
        </w:rPr>
      </w:pPr>
      <w:r w:rsidRPr="000133F7">
        <w:rPr>
          <w:b/>
          <w:bCs/>
          <w:lang w:val="en-US"/>
        </w:rPr>
        <w:t xml:space="preserve">Appointment/Affiliations/Current Position </w:t>
      </w:r>
      <w:r w:rsidRPr="000133F7">
        <w:rPr>
          <w:lang w:val="en-US"/>
        </w:rPr>
        <w:br/>
        <w:t>Sonia Lawrence is an Associate Professor at Osgoode Hall Law School of York University.  She graduated from the University of Toronto's joint LLB/MSW program, and went on to serve as law clerk to Chief Justice Beverley McLachlin of the Supreme Court of Canada. With the help of Fulbright and SSHRC Fellowships, she then attended Yale Law School where she obtained an LL.M</w:t>
      </w:r>
      <w:r w:rsidRPr="000133F7">
        <w:rPr>
          <w:lang w:val="en-US"/>
        </w:rPr>
        <w:tab/>
        <w:t>and focused on constitutional equality issues and welfare administration. She is the Director of the </w:t>
      </w:r>
      <w:hyperlink r:id="rId8" w:history="1">
        <w:r w:rsidRPr="000133F7">
          <w:rPr>
            <w:rStyle w:val="Hyperlink"/>
            <w:lang w:val="en-US"/>
          </w:rPr>
          <w:t>Institute for Feminist Legal Studies</w:t>
        </w:r>
      </w:hyperlink>
      <w:r w:rsidRPr="000133F7">
        <w:rPr>
          <w:lang w:val="en-US"/>
        </w:rPr>
        <w:t xml:space="preserve"> at Osgoode, sits on the executive committee of the Centre for Feminist Research at York University, and has visited at the Ontario Institute for Studies in Education and the University of Kent Law School (UK).  She has sat on the Legal Committee of the Women's Legal Education and Action Foundation. </w:t>
      </w:r>
      <w:r w:rsidRPr="000133F7">
        <w:rPr>
          <w:lang w:val="en-US"/>
        </w:rPr>
        <w:br/>
      </w:r>
      <w:r w:rsidRPr="000133F7">
        <w:rPr>
          <w:lang w:val="en-US"/>
        </w:rPr>
        <w:lastRenderedPageBreak/>
        <w:br/>
      </w:r>
      <w:r w:rsidRPr="000133F7">
        <w:rPr>
          <w:b/>
          <w:bCs/>
          <w:lang w:val="en-US"/>
        </w:rPr>
        <w:t xml:space="preserve">Research Focus and History </w:t>
      </w:r>
      <w:r w:rsidRPr="000133F7">
        <w:rPr>
          <w:lang w:val="en-US"/>
        </w:rPr>
        <w:br/>
        <w:t xml:space="preserve">Her work centers on questions of equality and includes examinations of the use and abuse of cultural knowledge in courtrooms, the Supreme Court of Canada’s equality jurisprudence, the influence of feminism in Canadian law, sentencing regimes for 'drug mules,' diversity on the bench, and section 28 of the Canadian Charter of Rights and Freedoms.  She is currently workshopping a paper which looks at the use of analogy in equality law and social movements.   </w:t>
      </w:r>
      <w:r w:rsidRPr="000133F7">
        <w:rPr>
          <w:lang w:val="en-US"/>
        </w:rPr>
        <w:br/>
      </w:r>
      <w:r w:rsidRPr="000133F7">
        <w:rPr>
          <w:lang w:val="en-US"/>
        </w:rPr>
        <w:br/>
      </w:r>
      <w:r w:rsidRPr="000133F7">
        <w:rPr>
          <w:b/>
          <w:bCs/>
          <w:lang w:val="en-US"/>
        </w:rPr>
        <w:t xml:space="preserve">Courses and Awards </w:t>
      </w:r>
      <w:r w:rsidRPr="000133F7">
        <w:rPr>
          <w:lang w:val="en-US"/>
        </w:rPr>
        <w:br/>
        <w:t xml:space="preserve">Professor Lawrence teaches first year mandatory courses in Canadian constitutional law, has taught Canadian criminal law as well.  She teaches a specialized seminar in Law, Gender, Equality, and supervises students who are focused in their graduate legal work which considers questions of law, discrimination, race and gender.   </w:t>
      </w:r>
      <w:r w:rsidRPr="000133F7">
        <w:rPr>
          <w:lang w:val="en-US"/>
        </w:rPr>
        <w:br/>
      </w:r>
      <w:r w:rsidRPr="000133F7">
        <w:rPr>
          <w:b/>
          <w:lang w:val="en-US"/>
        </w:rPr>
        <w:br/>
        <w:t>Recent Publications:</w:t>
      </w:r>
    </w:p>
    <w:p w14:paraId="492F15B4" w14:textId="77777777" w:rsidR="000133F7" w:rsidRPr="000133F7" w:rsidRDefault="000133F7" w:rsidP="00CD091A">
      <w:pPr>
        <w:pStyle w:val="ListParagraph"/>
        <w:rPr>
          <w:lang w:val="en-US"/>
        </w:rPr>
      </w:pPr>
      <w:r w:rsidRPr="000133F7">
        <w:rPr>
          <w:lang w:val="en-US"/>
        </w:rPr>
        <w:t xml:space="preserve">Professor Lawrence has published extensively in the areas of gender and the law, judicial independence, and legal education. Her published book chapters and refereed articles include “Choice, Equality and Tales of Racial Discrimination: Reading the Supreme Court on Section 15” in Diminishing Returns: Inequality and the Canadian Charter of Rights and Freedoms, “Reflections: On Judicial Diversity and Judicial Independence Forthcoming” edited collection Judicial Independence, Counting Outsiders:  A Critical Exploration of Outsider Course Enrollment in Canadian Legal Education in the Osgoode Hall Law Journal. </w:t>
      </w:r>
    </w:p>
    <w:p w14:paraId="2E6077E7" w14:textId="77777777" w:rsidR="000133F7" w:rsidRPr="000133F7" w:rsidRDefault="000133F7" w:rsidP="00CD091A">
      <w:pPr>
        <w:pStyle w:val="ListParagraph"/>
        <w:rPr>
          <w:lang w:val="en-US"/>
        </w:rPr>
      </w:pPr>
    </w:p>
    <w:p w14:paraId="45E4A6C5" w14:textId="77777777" w:rsidR="00D91C33" w:rsidRPr="000133F7" w:rsidRDefault="00D91C33" w:rsidP="00CD091A">
      <w:pPr>
        <w:pStyle w:val="ListParagraph"/>
        <w:rPr>
          <w:lang w:val="en-US"/>
        </w:rPr>
      </w:pPr>
    </w:p>
    <w:p w14:paraId="5834C544" w14:textId="44BE7DC2" w:rsidR="004C6EDE" w:rsidRDefault="004C6EDE" w:rsidP="004C6EDE">
      <w:pPr>
        <w:pStyle w:val="Heading3"/>
        <w:rPr>
          <w:lang w:val="en-US"/>
        </w:rPr>
      </w:pPr>
      <w:r>
        <w:rPr>
          <w:lang w:val="en-US"/>
        </w:rPr>
        <w:t>Soumia Boutkhil</w:t>
      </w:r>
    </w:p>
    <w:p w14:paraId="6FDEA2D7" w14:textId="1BB70B2F" w:rsidR="00863137" w:rsidRPr="000133F7" w:rsidRDefault="00863137" w:rsidP="00CD091A">
      <w:pPr>
        <w:pStyle w:val="ListParagraph"/>
        <w:rPr>
          <w:lang w:val="en-US"/>
        </w:rPr>
      </w:pPr>
      <w:r w:rsidRPr="000133F7">
        <w:rPr>
          <w:bCs/>
          <w:lang w:val="en-US"/>
        </w:rPr>
        <w:t>Associate-Professor of English</w:t>
      </w:r>
      <w:r w:rsidRPr="000133F7">
        <w:rPr>
          <w:lang w:val="en-US"/>
        </w:rPr>
        <w:t>, Gender and Women’s Studies at the University Mohammed I, Oujda, Morocco. She holds a P</w:t>
      </w:r>
      <w:r w:rsidRPr="000133F7">
        <w:rPr>
          <w:bCs/>
          <w:lang w:val="en-US"/>
        </w:rPr>
        <w:t>h.D. in</w:t>
      </w:r>
      <w:r w:rsidRPr="000133F7">
        <w:rPr>
          <w:lang w:val="en-US"/>
        </w:rPr>
        <w:t xml:space="preserve"> English Studies from the Université Nanterre-Paris X. Dr. Boutkhil is the initiator and current head of the Graduate multidisciplinary programme on “Gender, Society and Human Development,” the first of its kind in the country. As a Fulbright Visiting Scholar for 2008-9 at Rutgers University, Dr. Boutkhil wrote and lectured extensively on women’s status in Morocco with a particular focus on the interpenetrations of law and religion. She has also written and published extensively and her recent publication as a co-editor was a book titled, ‘</w:t>
      </w:r>
      <w:r w:rsidRPr="000133F7">
        <w:rPr>
          <w:iCs/>
          <w:lang w:val="en-US"/>
        </w:rPr>
        <w:t>The World as a Global Agora: Critical Perspectives on</w:t>
      </w:r>
      <w:r w:rsidRPr="000133F7">
        <w:rPr>
          <w:lang w:val="en-US"/>
        </w:rPr>
        <w:t xml:space="preserve"> </w:t>
      </w:r>
      <w:r w:rsidRPr="000133F7">
        <w:rPr>
          <w:iCs/>
          <w:lang w:val="en-US"/>
        </w:rPr>
        <w:t>Public Space’</w:t>
      </w:r>
      <w:r w:rsidRPr="000133F7">
        <w:rPr>
          <w:lang w:val="en-US"/>
        </w:rPr>
        <w:t>. Over and above her academic commitments, Dr. Boutkhil co-founded the “</w:t>
      </w:r>
      <w:r w:rsidRPr="000133F7">
        <w:rPr>
          <w:iCs/>
          <w:lang w:val="en-US"/>
        </w:rPr>
        <w:t>Identity and Difference</w:t>
      </w:r>
      <w:r w:rsidRPr="000133F7">
        <w:rPr>
          <w:lang w:val="en-US"/>
        </w:rPr>
        <w:t xml:space="preserve">” research group at her university, within which she initiates and leads most of the group’s academic activity. She also served 2 years as </w:t>
      </w:r>
      <w:r w:rsidRPr="000133F7">
        <w:rPr>
          <w:lang w:val="en-US"/>
        </w:rPr>
        <w:lastRenderedPageBreak/>
        <w:t>vice-president of a women NGO that provides among other services  legal assistance and a shelter for women victims of violence.</w:t>
      </w:r>
    </w:p>
    <w:p w14:paraId="4B19F2B0" w14:textId="77777777" w:rsidR="00D91C33" w:rsidRPr="000133F7" w:rsidRDefault="00D91C33" w:rsidP="00CD091A">
      <w:pPr>
        <w:pStyle w:val="ListParagraph"/>
        <w:rPr>
          <w:lang w:val="en-US"/>
        </w:rPr>
      </w:pPr>
    </w:p>
    <w:p w14:paraId="29FC8B69" w14:textId="77777777" w:rsidR="008B7F64" w:rsidRDefault="008B7F64" w:rsidP="008B7F64">
      <w:pPr>
        <w:pStyle w:val="Heading3"/>
        <w:rPr>
          <w:lang w:val="en-US"/>
        </w:rPr>
      </w:pPr>
      <w:r>
        <w:rPr>
          <w:lang w:val="en-US"/>
        </w:rPr>
        <w:t>Enakshi Dua</w:t>
      </w:r>
    </w:p>
    <w:p w14:paraId="3D802906" w14:textId="69959185" w:rsidR="00863137" w:rsidRPr="000133F7" w:rsidRDefault="000133F7" w:rsidP="00CD091A">
      <w:pPr>
        <w:pStyle w:val="ListParagraph"/>
        <w:rPr>
          <w:lang w:val="en-US"/>
        </w:rPr>
      </w:pPr>
      <w:r w:rsidRPr="000133F7">
        <w:rPr>
          <w:lang w:val="en-US"/>
        </w:rPr>
        <w:t>Associate Professor in Gender, Sexuality and Women Studies at York University, Canada.</w:t>
      </w:r>
      <w:r w:rsidR="00863137" w:rsidRPr="000133F7">
        <w:rPr>
          <w:lang w:val="en-US"/>
        </w:rPr>
        <w:t xml:space="preserve"> She has extensively published on equity policies and anti-racism policies. She has more than 30 years of experience in gender equity in several organization as including universities. Within the university, she has held a number of administrative positions that deal with gender, anti-racist, and equity issues. She has served as </w:t>
      </w:r>
      <w:r w:rsidRPr="000133F7">
        <w:rPr>
          <w:lang w:val="en-US"/>
        </w:rPr>
        <w:t xml:space="preserve">Director of the Centre for Feminist Research, </w:t>
      </w:r>
      <w:r w:rsidR="00863137" w:rsidRPr="000133F7">
        <w:rPr>
          <w:lang w:val="en-US"/>
        </w:rPr>
        <w:t>Chair of the CAUT Equity Committee, the co-chair of the Sub-committee to the Joint Committee of the Collective Agreement on Equity, at Queen’s University, as well as the York University Faculty Association’s Equity Officer. She has carried out research on gender issues in India and feminism in a glob</w:t>
      </w:r>
      <w:r w:rsidRPr="000133F7">
        <w:rPr>
          <w:lang w:val="en-US"/>
        </w:rPr>
        <w:t xml:space="preserve">al context. </w:t>
      </w:r>
      <w:r w:rsidR="00863137" w:rsidRPr="000133F7">
        <w:rPr>
          <w:lang w:val="en-US"/>
        </w:rPr>
        <w:t>She has experience in international research agencies, as she served on the Board of Directors for the Shasti-Indo Canadian Instit</w:t>
      </w:r>
      <w:r w:rsidRPr="000133F7">
        <w:rPr>
          <w:lang w:val="en-US"/>
        </w:rPr>
        <w:t xml:space="preserve">ute. </w:t>
      </w:r>
    </w:p>
    <w:p w14:paraId="78B291E9" w14:textId="77777777" w:rsidR="00863137" w:rsidRPr="000133F7" w:rsidRDefault="00863137" w:rsidP="00CD091A">
      <w:pPr>
        <w:pStyle w:val="ListParagraph"/>
        <w:rPr>
          <w:lang w:val="en-US"/>
        </w:rPr>
      </w:pPr>
    </w:p>
    <w:p w14:paraId="1C9317B6" w14:textId="77777777" w:rsidR="008B7F64" w:rsidRDefault="00863137" w:rsidP="008B7F64">
      <w:pPr>
        <w:pStyle w:val="Heading3"/>
        <w:rPr>
          <w:lang w:val="en-US"/>
        </w:rPr>
      </w:pPr>
      <w:r w:rsidRPr="000133F7">
        <w:rPr>
          <w:lang w:val="en-US"/>
        </w:rPr>
        <w:t>Dr. Larbi Touaf</w:t>
      </w:r>
    </w:p>
    <w:p w14:paraId="32B154DF" w14:textId="5C92EB58" w:rsidR="002B2FAF" w:rsidRPr="0093670F" w:rsidRDefault="00863137" w:rsidP="0093670F">
      <w:pPr>
        <w:pStyle w:val="ListParagraph"/>
        <w:rPr>
          <w:lang w:val="en-US"/>
        </w:rPr>
      </w:pPr>
      <w:r w:rsidRPr="000133F7">
        <w:rPr>
          <w:lang w:val="en-US"/>
        </w:rPr>
        <w:t>Associate Professor of English at the University of Mohamed I, Oujda. He holds a Ph.D. in English Literature from the Université Paris-Sorbonne. Dr. Touaf is a fellow of the Maxwell School of Citizenship and Public Affairs at  Syracuse University, NY, and a Fulbright Visiting Scholar for 2013-14 at SUNY Cortland. He has written and published extensively and his recent stint as a co-editor was a book titled, ‘</w:t>
      </w:r>
      <w:r w:rsidRPr="000133F7">
        <w:rPr>
          <w:iCs/>
          <w:lang w:val="en-US"/>
        </w:rPr>
        <w:t>The World as a Global Agora: Critical Perspectives on</w:t>
      </w:r>
      <w:r w:rsidRPr="000133F7">
        <w:rPr>
          <w:lang w:val="en-US"/>
        </w:rPr>
        <w:t xml:space="preserve"> </w:t>
      </w:r>
      <w:r w:rsidRPr="000133F7">
        <w:rPr>
          <w:iCs/>
          <w:lang w:val="en-US"/>
        </w:rPr>
        <w:t>Public Space’</w:t>
      </w:r>
      <w:r w:rsidRPr="000133F7">
        <w:rPr>
          <w:lang w:val="en-US"/>
        </w:rPr>
        <w:t>. Over and above his academic commitments, Dr. Touaf established the “</w:t>
      </w:r>
      <w:r w:rsidRPr="000133F7">
        <w:rPr>
          <w:iCs/>
          <w:lang w:val="en-US"/>
        </w:rPr>
        <w:t>Identity and Difference</w:t>
      </w:r>
      <w:r w:rsidRPr="000133F7">
        <w:rPr>
          <w:lang w:val="en-US"/>
        </w:rPr>
        <w:t>” research group at his university, is a member of the North-East Modern Language Association as well as the Middle East Studies Association based in the United States. Dr; Touaf initiated diverse student research project on gender and public space. In addition, his expertise in civic engagement and service learning gave a new direction to the gender studies programme towards more experiential learning. His involvement in the project will serv</w:t>
      </w:r>
      <w:r w:rsidR="0093670F">
        <w:rPr>
          <w:lang w:val="en-US"/>
        </w:rPr>
        <w:t xml:space="preserve">e to bring theory to practice. </w:t>
      </w:r>
    </w:p>
    <w:p w14:paraId="544ADCA4" w14:textId="77777777" w:rsidR="002B2FAF" w:rsidRDefault="002B2FAF" w:rsidP="00CD091A">
      <w:pPr>
        <w:pStyle w:val="Heading1"/>
      </w:pPr>
      <w:r>
        <w:t>Study of Legal Decisions</w:t>
      </w:r>
    </w:p>
    <w:p w14:paraId="1DA5E914" w14:textId="76C10588" w:rsidR="002B2FAF" w:rsidRDefault="002B2FAF" w:rsidP="00CD091A">
      <w:r>
        <w:t xml:space="preserve">A significant part of this project focused on evaluating the judicial response to the 2004 Moroccan family law reforms.  This study was carried out by </w:t>
      </w:r>
      <w:r w:rsidRPr="002B2FAF">
        <w:rPr>
          <w:lang w:val="en-US"/>
        </w:rPr>
        <w:t>Hasna Boutkhil &amp; Rachid Sbia</w:t>
      </w:r>
      <w:r>
        <w:rPr>
          <w:lang w:val="en-US"/>
        </w:rPr>
        <w:t>, under the direction of P</w:t>
      </w:r>
      <w:r>
        <w:t>rofessors Boukhtil and Touaf of Mohammed University, Oujda, Morocco.  This effort to determine whether the law was having the intended impact – im</w:t>
      </w:r>
      <w:r>
        <w:lastRenderedPageBreak/>
        <w:t xml:space="preserve">proving legal outcomes for women in situations of (inter alia) family breakdown and family violence is a way of understanding the need for judicial education.  Of particular interest in this context is the possibility that the need for social context education might be uneven, geographically, and so the study is designed to take account of the urban/rural divide and other differences that might help develop effectively focused educational programming for judges. </w:t>
      </w:r>
      <w:r w:rsidR="0093670F">
        <w:t xml:space="preserve"> The paper produced by this study is available at </w:t>
      </w:r>
      <w:r w:rsidR="0093670F" w:rsidRPr="0093670F">
        <w:t>http://glp.info.yorku.ca/family-law-reform-in-morocco/</w:t>
      </w:r>
      <w:r w:rsidR="0093670F">
        <w:t>.</w:t>
      </w:r>
    </w:p>
    <w:p w14:paraId="38B458F0" w14:textId="77777777" w:rsidR="001D09EA" w:rsidRDefault="001D09EA" w:rsidP="00CD091A">
      <w:pPr>
        <w:pStyle w:val="Heading1"/>
      </w:pPr>
      <w:r>
        <w:t>Judicial education</w:t>
      </w:r>
    </w:p>
    <w:p w14:paraId="79C4CD72" w14:textId="1272BDEA" w:rsidR="00042778" w:rsidRPr="00CD091A" w:rsidRDefault="002B2FAF" w:rsidP="00CD091A">
      <w:r w:rsidRPr="00CD091A">
        <w:t xml:space="preserve">A significant component of the project is to examine what tools exist to ensure the implementation of gender based reforms in law. </w:t>
      </w:r>
      <w:r w:rsidR="00042778" w:rsidRPr="00CD091A">
        <w:t xml:space="preserve">The two countries brought together in this project have quite divergent practices with respect to judicial education.  Internationally, Canada has long been recognized as a leader in the provision of judicial education and particularly with respect to social context education.  Although Canada is a mixed legal system (with both civil and common law jurisdictions within), legal training and judicial appointment are aligned with Anglo-common law systems worldwide. Judges come from the senior ranks of the legal profession, with no particular training required beyond a certain number of years at the bar.  The implementation of judicial education programs was seen as a way to try to ensure that judges would learn about judging and continue to learn throughout their judicial appointment.  In contrast, in Morocco, like most civil law systems, becoming a magistrate is a career path that is chosen while still in training.  Judges are trained to that position, working their way up judicial ranks throughout a career in the judiciary.  </w:t>
      </w:r>
    </w:p>
    <w:p w14:paraId="0E0A7B97" w14:textId="77777777" w:rsidR="00ED4F54" w:rsidRDefault="00ED4F54" w:rsidP="00CD091A">
      <w:pPr>
        <w:pStyle w:val="Heading2"/>
      </w:pPr>
      <w:r>
        <w:t>Social Context Judicial Education</w:t>
      </w:r>
    </w:p>
    <w:p w14:paraId="4333F5FE" w14:textId="77777777" w:rsidR="00042778" w:rsidRDefault="00ED4F54" w:rsidP="00CD091A">
      <w:r>
        <w:t>For those unfamiliar with the concept of social context education</w:t>
      </w:r>
      <w:r w:rsidR="00042778">
        <w:t>, it may be helpful to divide judicial e</w:t>
      </w:r>
      <w:r>
        <w:t>ducation into three main fields (without suggesting that these forms of education are offered in isolation from each other, which would not be correct):</w:t>
      </w:r>
      <w:r w:rsidR="00042778">
        <w:t xml:space="preserve"> </w:t>
      </w:r>
    </w:p>
    <w:p w14:paraId="3B70FC92" w14:textId="77777777" w:rsidR="00042778" w:rsidRDefault="00042778" w:rsidP="00CD091A">
      <w:r>
        <w:t>Process based programming, in which judges learn about managing trials, or settlement processes, or other required procedures, inclu</w:t>
      </w:r>
      <w:r w:rsidR="00ED4F54">
        <w:t xml:space="preserve">ding for instance, how to draft clear and useful </w:t>
      </w:r>
      <w:r>
        <w:t xml:space="preserve">judgments.  </w:t>
      </w:r>
    </w:p>
    <w:p w14:paraId="78964B12" w14:textId="77777777" w:rsidR="00ED4F54" w:rsidRDefault="00ED4F54" w:rsidP="00CD091A">
      <w:r>
        <w:t xml:space="preserve">Substantive programming, in which judges might discuss new rules or precedents (for instance, with respect to family law support payment rules, or sentencing rules, or new constitutional cases) in order to better understand the implications for changes in judicial practice in a particular area of law. </w:t>
      </w:r>
    </w:p>
    <w:p w14:paraId="38CAF02B" w14:textId="77777777" w:rsidR="00ED4F54" w:rsidRDefault="00ED4F54" w:rsidP="00CD091A">
      <w:pPr>
        <w:rPr>
          <w:rFonts w:ascii="AdvPS8585" w:hAnsi="AdvPS8585" w:cs="AdvPS8585"/>
          <w:color w:val="000000"/>
          <w:sz w:val="21"/>
          <w:szCs w:val="21"/>
        </w:rPr>
      </w:pPr>
      <w:r>
        <w:t xml:space="preserve">Social context judicial education moves the focus from law and legal procedure to the society in which the judging is happening.  As Dr. Brettel Dawson writes: </w:t>
      </w:r>
      <w:r>
        <w:rPr>
          <w:rFonts w:ascii="AdvPS8585" w:hAnsi="AdvPS8585" w:cs="AdvPS8585"/>
          <w:color w:val="000000"/>
          <w:sz w:val="21"/>
          <w:szCs w:val="21"/>
        </w:rPr>
        <w:t xml:space="preserve">It is probably no coincidence that ‘differences and disadvantages’ rooted in social context are often at the heart of what makes cases difficult or contentious. Being able to respond effectively requires judges to enlarge their mentality (Nedelsky, </w:t>
      </w:r>
      <w:r>
        <w:rPr>
          <w:rFonts w:ascii="AdvPS8585" w:hAnsi="AdvPS8585" w:cs="AdvPS8585"/>
          <w:color w:val="000081"/>
          <w:sz w:val="21"/>
          <w:szCs w:val="21"/>
        </w:rPr>
        <w:t>2001</w:t>
      </w:r>
      <w:r>
        <w:rPr>
          <w:rFonts w:ascii="AdvPS8585" w:hAnsi="AdvPS8585" w:cs="AdvPS8585"/>
          <w:color w:val="000000"/>
          <w:sz w:val="21"/>
          <w:szCs w:val="21"/>
        </w:rPr>
        <w:t xml:space="preserve">, p.103), or put another way, broaden their understanding of the breadth of human experience. </w:t>
      </w:r>
      <w:r w:rsidR="008918F7">
        <w:rPr>
          <w:rFonts w:ascii="AdvPS8585" w:hAnsi="AdvPS8585" w:cs="AdvPS8585"/>
          <w:color w:val="000000"/>
          <w:sz w:val="21"/>
          <w:szCs w:val="21"/>
        </w:rPr>
        <w:t xml:space="preserve">In another article, Dawson writes:  </w:t>
      </w:r>
      <w:r w:rsidR="008918F7">
        <w:t>“Social context” is a term coined by the Canadian Judicial Council. It encompasses the idea that judging is grounded in human conditions and the society where judging takes place. Law should therefore respond to the needs and reasonable expectations of the communities it serves in a manner consistent with constitutional values, recognizing that social context is a component of many cases given that social realities shape individuals and disputes.</w:t>
      </w:r>
      <w:r w:rsidR="008918F7">
        <w:rPr>
          <w:rStyle w:val="FootnoteReference"/>
        </w:rPr>
        <w:footnoteReference w:id="3"/>
      </w:r>
    </w:p>
    <w:p w14:paraId="5C6C7A8F" w14:textId="77777777" w:rsidR="00ED4F54" w:rsidRDefault="00ED4F54" w:rsidP="00CD091A"/>
    <w:p w14:paraId="48A6B117" w14:textId="77777777" w:rsidR="00ED4F54" w:rsidRDefault="00D763F2" w:rsidP="00CD091A">
      <w:r>
        <w:t>Discussions</w:t>
      </w:r>
      <w:r w:rsidR="00ED4F54">
        <w:t xml:space="preserve"> of social context judicial education often point t</w:t>
      </w:r>
      <w:r w:rsidR="00AB10B4">
        <w:t>o the lack of diversity amongst judges on many measures, for instance race/ethnicity and gender, but of course also social class.</w:t>
      </w:r>
      <w:r w:rsidR="00AB10B4">
        <w:rPr>
          <w:rStyle w:val="FootnoteReference"/>
          <w:rFonts w:ascii="AdvPS8585" w:hAnsi="AdvPS8585" w:cs="AdvPS8585"/>
          <w:color w:val="000000"/>
          <w:sz w:val="21"/>
          <w:szCs w:val="21"/>
        </w:rPr>
        <w:footnoteReference w:id="4"/>
      </w:r>
      <w:r w:rsidR="00AB10B4">
        <w:t xml:space="preserve">  Their exposure to the lived realities of the people in their courtrooms may  be extremely limited. </w:t>
      </w:r>
      <w:r>
        <w:t xml:space="preserve">But it is not just their own social circusmtances but their education which contributes to limited understandings of the context in which law is being applied.  </w:t>
      </w:r>
      <w:r w:rsidR="00AB10B4">
        <w:t>Their legal training might be limited either by subject matter (for instance, if they focused mainly on commercial/transactional matters) or by the nature of legal training itself, which has traditionally focused on positioning law as a scientific discipline in which learned rules are applied to found facts.</w:t>
      </w:r>
      <w:r w:rsidR="00AB10B4">
        <w:rPr>
          <w:rStyle w:val="FootnoteReference"/>
          <w:rFonts w:ascii="AdvPS8585" w:hAnsi="AdvPS8585" w:cs="AdvPS8585"/>
          <w:color w:val="000000"/>
          <w:sz w:val="21"/>
          <w:szCs w:val="21"/>
        </w:rPr>
        <w:footnoteReference w:id="5"/>
      </w:r>
      <w:r w:rsidR="00AB10B4">
        <w:t xml:space="preserve">  We can dispute about the meaning and impact of this approach to law (is this a flaw in adjudication or a core technique by which law preserves hierarchy and domination?) but for legal learners, the result is a consignment of significant swaths of human experience to irrelevance and extra curricular status.  Arguably, this is  less a feature of legal education than a source of constant struggle in legal education, but the impact of this vision of law and the emphasis in teaching is that judges may not only be ignorant about the reality of inequality and difference in society, but believe their ignorance to be </w:t>
      </w:r>
      <w:r>
        <w:t xml:space="preserve">a virtue in terms of judging, if </w:t>
      </w:r>
      <w:r w:rsidR="00AB10B4">
        <w:t xml:space="preserve">such “contextual” issues are irrelevant to law. </w:t>
      </w:r>
    </w:p>
    <w:p w14:paraId="3DE4A3D6" w14:textId="77777777" w:rsidR="00AB10B4" w:rsidRDefault="00AB10B4" w:rsidP="00CD091A"/>
    <w:p w14:paraId="076E127A" w14:textId="77777777" w:rsidR="00D763F2" w:rsidRDefault="00D763F2" w:rsidP="00CD091A">
      <w:r>
        <w:t xml:space="preserve">Of course, inequality and difference have driven many important social movements to demand, sometimes successfully, changes in law.  When these movements succeed in forcing legislative change which must then be implemented by judges, reformers may feel disappointment and surprise that the hard won legal victory does not appear to be changing the situation on the ground.  This experience is repeated over and over again, and has been subjected to searching macro and micro level analyses.   The question for us here is about how to bring lessons from lived experience to judges in a way that highlights the </w:t>
      </w:r>
      <w:r w:rsidRPr="00D763F2">
        <w:rPr>
          <w:i/>
        </w:rPr>
        <w:t>legal</w:t>
      </w:r>
      <w:r>
        <w:t xml:space="preserve"> relevance of those experiences. </w:t>
      </w:r>
    </w:p>
    <w:p w14:paraId="24C77B9C" w14:textId="77777777" w:rsidR="001D09EA" w:rsidRDefault="001D09EA" w:rsidP="00CD091A"/>
    <w:p w14:paraId="13DDC65F" w14:textId="77777777" w:rsidR="00D763F2" w:rsidRDefault="00D763F2" w:rsidP="00CD091A">
      <w:r>
        <w:t>The Canadian experience with social context education is outlined in Brettel Dawson’s Judicial Education on Gender and Social Context in Canada: Judicial education on social context and gender in</w:t>
      </w:r>
    </w:p>
    <w:p w14:paraId="3E0FF4EA" w14:textId="77777777" w:rsidR="008918F7" w:rsidRDefault="00D763F2" w:rsidP="00CD091A">
      <w:r>
        <w:t>Canada: principles, process and lessons learned, among other articles which focus or comment on the history of this form of judicial education.</w:t>
      </w:r>
      <w:r>
        <w:rPr>
          <w:rStyle w:val="FootnoteReference"/>
        </w:rPr>
        <w:footnoteReference w:id="6"/>
      </w:r>
      <w:r w:rsidR="00E72EE2">
        <w:t xml:space="preserve">  Starting in the mid-1990’s, this form of education was deemed a priority for the National Judicial Institute</w:t>
      </w:r>
      <w:r w:rsidR="008918F7">
        <w:t>.</w:t>
      </w:r>
      <w:r w:rsidR="00E72EE2">
        <w:rPr>
          <w:rStyle w:val="FootnoteReference"/>
        </w:rPr>
        <w:footnoteReference w:id="7"/>
      </w:r>
    </w:p>
    <w:p w14:paraId="05339D03" w14:textId="77777777" w:rsidR="00D763F2" w:rsidRPr="00E72EE2" w:rsidRDefault="008918F7" w:rsidP="00CD091A">
      <w:r>
        <w:t>Before turning to a review of the scholarship in this area, two points about the Canadian initiatives around social context education. First, while early NJI programming in the area of social context took the form of dedicated sessions which might be loosely described as ‘sensitivity training’ on race and gender, these gradually gave way to a policy of integrating social context education throughout the extensive educational offerings of the NJI.</w:t>
      </w:r>
      <w:r w:rsidR="00ED602B">
        <w:rPr>
          <w:rStyle w:val="FootnoteReference"/>
        </w:rPr>
        <w:footnoteReference w:id="8"/>
      </w:r>
      <w:r>
        <w:t xml:space="preserve">  Secondly, the pedagogical model of judicial education as developed by the NJI has always been oriented towards training that is both judge-led and focused on active learning as opposed to lectures.</w:t>
      </w:r>
      <w:r w:rsidR="00ED602B">
        <w:rPr>
          <w:rStyle w:val="FootnoteReference"/>
        </w:rPr>
        <w:footnoteReference w:id="9"/>
      </w:r>
    </w:p>
    <w:p w14:paraId="281B3410" w14:textId="77777777" w:rsidR="00F60EE7" w:rsidRDefault="00D763F2" w:rsidP="00CD091A">
      <w:pPr>
        <w:pStyle w:val="Heading2"/>
      </w:pPr>
      <w:r>
        <w:t>R</w:t>
      </w:r>
      <w:r w:rsidR="001D09EA">
        <w:t xml:space="preserve">eview of </w:t>
      </w:r>
      <w:r w:rsidR="00ED602B">
        <w:t>Organizations and Sch</w:t>
      </w:r>
      <w:r w:rsidR="001D09EA">
        <w:t xml:space="preserve">olarly </w:t>
      </w:r>
      <w:r w:rsidR="00ED602B">
        <w:t xml:space="preserve">writing </w:t>
      </w:r>
      <w:r w:rsidR="00CB1854">
        <w:t>focused on Judicial Education</w:t>
      </w:r>
    </w:p>
    <w:p w14:paraId="36A91797" w14:textId="77777777" w:rsidR="00ED602B" w:rsidRDefault="00ED602B" w:rsidP="00CD091A">
      <w:r>
        <w:t xml:space="preserve">Interest in judicial education extends far beyond Morocco and Canada, of course.  Over the past few decades, numerous national and international organizations have grown up, along with a vast literature considering specific judicial education initiatives along with general questions about judicial education including a significant amount of attention to pedagogical models. The following section of this review concentrates on material addressing gender and social context, but is illustrative of the vast array of materials available.  Often not available publically, however, are detailed examples of the curriculum and materials from judicial training sessions.  While some of this may simply be related to the limited audience for judicial education, but another factor no doubt is the heightened sensitivity about judicial training, particularly in the common law world.  Concern that judicial training will be seen as a form of inculcating bias will be acute in the context of social context education which attempts to address difference and inequality in society, often in areas where there is considerable public dispute. </w:t>
      </w:r>
    </w:p>
    <w:p w14:paraId="0FFAC42A" w14:textId="77777777" w:rsidR="00ED602B" w:rsidRDefault="00ED602B" w:rsidP="00CD091A">
      <w:pPr>
        <w:pStyle w:val="Heading3"/>
      </w:pPr>
      <w:r>
        <w:t xml:space="preserve">Organizations </w:t>
      </w:r>
    </w:p>
    <w:p w14:paraId="22443D9A" w14:textId="77777777" w:rsidR="00ED602B" w:rsidRDefault="00ED602B" w:rsidP="00CD091A">
      <w:r>
        <w:t>In addition to many national and sub-national organizations dedicated to judicial education</w:t>
      </w:r>
      <w:r>
        <w:rPr>
          <w:rStyle w:val="FootnoteReference"/>
        </w:rPr>
        <w:footnoteReference w:id="10"/>
      </w:r>
      <w:r>
        <w:t xml:space="preserve"> </w:t>
      </w:r>
      <w:r w:rsidR="0073632B">
        <w:t>a number of organizations and initiatives related to transnational or international judicial education have also been developed.</w:t>
      </w:r>
      <w:r w:rsidR="0073632B">
        <w:rPr>
          <w:rStyle w:val="FootnoteReference"/>
        </w:rPr>
        <w:footnoteReference w:id="11"/>
      </w:r>
      <w:r w:rsidR="0073632B">
        <w:t xml:space="preserve">  Both these programs and academics interested in questions of judicial education have also produced a very wide range of scholarly articles and books describing, critiquing, assessing and developing the form and substance of judicial education across the globe.</w:t>
      </w:r>
      <w:r w:rsidR="0073632B">
        <w:rPr>
          <w:rStyle w:val="FootnoteReference"/>
        </w:rPr>
        <w:footnoteReference w:id="12"/>
      </w:r>
      <w:r w:rsidR="0073632B">
        <w:t xml:space="preserve">   </w:t>
      </w:r>
    </w:p>
    <w:p w14:paraId="2EFBF538" w14:textId="77777777" w:rsidR="0073632B" w:rsidRDefault="0073632B" w:rsidP="00CD091A">
      <w:pPr>
        <w:pStyle w:val="Heading2"/>
      </w:pPr>
      <w:r>
        <w:t>Identifying the need for judicial education on social context</w:t>
      </w:r>
    </w:p>
    <w:p w14:paraId="12FB28A2" w14:textId="77777777" w:rsidR="00CB1854" w:rsidRPr="00CB1854" w:rsidRDefault="00CB1854" w:rsidP="00CD091A">
      <w:r>
        <w:t>As Professor Livingston Armytage has suggested, multiple purposes exist for Judicial Education. It could be aimed at accountability, socialization, or justice reform.</w:t>
      </w:r>
      <w:r>
        <w:rPr>
          <w:rStyle w:val="FootnoteReference"/>
        </w:rPr>
        <w:footnoteReference w:id="13"/>
      </w:r>
    </w:p>
    <w:p w14:paraId="485286AC" w14:textId="77777777" w:rsidR="0073632B" w:rsidRDefault="0073632B" w:rsidP="00CD091A">
      <w:pPr>
        <w:pStyle w:val="Heading2"/>
      </w:pPr>
      <w:r>
        <w:t>Pedagogical approaches in social context judicial education programming</w:t>
      </w:r>
    </w:p>
    <w:p w14:paraId="21055AB0" w14:textId="77777777" w:rsidR="00CB1854" w:rsidRDefault="00CB1854" w:rsidP="00CD091A">
      <w:r>
        <w:t>For the most part, those writing and practicing in the area of judicial education agree that participatory models in which judges lead the sessions are the best model</w:t>
      </w:r>
      <w:r w:rsidR="001D3BCE">
        <w:t xml:space="preserve"> based both on judicial preference and alleviating concerns about judicial independence</w:t>
      </w:r>
      <w:r>
        <w:t>.</w:t>
      </w:r>
      <w:r>
        <w:rPr>
          <w:rStyle w:val="FootnoteReference"/>
        </w:rPr>
        <w:footnoteReference w:id="14"/>
      </w:r>
      <w:r>
        <w:t xml:space="preserve">  There is almost no relatively little empirical work on the efficacy of various models of judicial education (however we measure efficacy – in terms of retention of material or implementation of ideas) but there is a fair amount of more or less scholarly assessment of judicial preference </w:t>
      </w:r>
      <w:r w:rsidR="00880A63">
        <w:t xml:space="preserve">which points clearly to </w:t>
      </w:r>
      <w:r>
        <w:t>participatory models over traditional forms of learning.</w:t>
      </w:r>
      <w:r w:rsidR="00687FE1">
        <w:rPr>
          <w:rStyle w:val="FootnoteReference"/>
        </w:rPr>
        <w:footnoteReference w:id="15"/>
      </w:r>
      <w:r w:rsidR="00203EC1">
        <w:t xml:space="preserve"> </w:t>
      </w:r>
      <w:r w:rsidR="00880A63">
        <w:t>The Canadian experience as described by Dawson involved the</w:t>
      </w:r>
      <w:r w:rsidR="00B21C0A">
        <w:t xml:space="preserve"> realization that lecture based traditional </w:t>
      </w:r>
      <w:r w:rsidR="00880A63">
        <w:t xml:space="preserve">approaches used for judicial skills training would not work for </w:t>
      </w:r>
      <w:r w:rsidR="00B21C0A">
        <w:t>social context, a “very sensitive and personal endeavor”.</w:t>
      </w:r>
      <w:r w:rsidR="00B21C0A">
        <w:rPr>
          <w:rStyle w:val="FootnoteReference"/>
        </w:rPr>
        <w:footnoteReference w:id="16"/>
      </w:r>
      <w:r w:rsidR="001D3BCE">
        <w:t xml:space="preserve">  Armytage has called for more research into what works best for judges, noting </w:t>
      </w:r>
      <w:r w:rsidR="00B21C0A">
        <w:t xml:space="preserve">particular </w:t>
      </w:r>
      <w:r w:rsidR="001D3BCE">
        <w:t>aspects of the role itself and characteristics that develop with the role (Armytage flatteringly describes judges as “rigorously autonomous, [with intense] short term problem-orientation…</w:t>
      </w:r>
      <w:r w:rsidR="00B21C0A">
        <w:t xml:space="preserve"> </w:t>
      </w:r>
      <w:r w:rsidR="001D3BCE">
        <w:t>[motivated] to pursue competence for its own sake rather than for promotion or material gain.”</w:t>
      </w:r>
      <w:r>
        <w:t xml:space="preserve"> </w:t>
      </w:r>
      <w:r w:rsidR="001D3BCE">
        <w:rPr>
          <w:rStyle w:val="FootnoteReference"/>
        </w:rPr>
        <w:footnoteReference w:id="17"/>
      </w:r>
      <w:r w:rsidR="00B21C0A">
        <w:t xml:space="preserve">). </w:t>
      </w:r>
    </w:p>
    <w:p w14:paraId="6574E27C" w14:textId="77777777" w:rsidR="001D3BCE" w:rsidRDefault="00B21C0A" w:rsidP="00CD091A">
      <w:r>
        <w:t xml:space="preserve">In practice, judicial education, even that which is “judge-led” </w:t>
      </w:r>
      <w:r w:rsidR="001D3BCE">
        <w:t xml:space="preserve"> often involve</w:t>
      </w:r>
      <w:r>
        <w:t>s</w:t>
      </w:r>
      <w:r w:rsidR="001D3BCE">
        <w:t xml:space="preserve"> experts who are not judges.  People with significant experience in the field, therefore, including T. Brettel Dawson and Livingston Armytage, point to the need to expand a least a bit beyond judges as pedagogues, noting that this is particularly the case in respect of Social Context education because of “…the challenge of proactive, progressive leadership in ever-changing societies persists…. “judge-led” should not be permitted to mean only what judges want – as distinct from what judges may need.”</w:t>
      </w:r>
      <w:r w:rsidR="001D3BCE">
        <w:rPr>
          <w:rStyle w:val="FootnoteReference"/>
        </w:rPr>
        <w:footnoteReference w:id="18"/>
      </w:r>
      <w:r w:rsidR="000D529D">
        <w:t xml:space="preserve">  Dawson’s suggestions aim to be more precise about which judges ought to be leading programs (alongside non-judges, as primary presenters and facilitators), pointing out the need for “judicial champions”, that is members of the judiciary who are “receptive to the presence of social context in judging”. </w:t>
      </w:r>
      <w:r w:rsidR="000D529D">
        <w:rPr>
          <w:rStyle w:val="FootnoteReference"/>
        </w:rPr>
        <w:footnoteReference w:id="19"/>
      </w:r>
      <w:r w:rsidR="000D529D">
        <w:t xml:space="preserve"> </w:t>
      </w:r>
    </w:p>
    <w:p w14:paraId="50219300" w14:textId="77777777" w:rsidR="00B21C0A" w:rsidRDefault="00B21C0A" w:rsidP="00CD091A">
      <w:r>
        <w:t xml:space="preserve">Methods commonly discussed are </w:t>
      </w:r>
    </w:p>
    <w:p w14:paraId="33114CAE" w14:textId="77777777" w:rsidR="00B21C0A" w:rsidRDefault="00B21C0A" w:rsidP="008B7F64">
      <w:pPr>
        <w:pStyle w:val="ListParagraph"/>
        <w:numPr>
          <w:ilvl w:val="0"/>
          <w:numId w:val="13"/>
        </w:numPr>
      </w:pPr>
      <w:r>
        <w:t>Facilitated small group discussion of problems</w:t>
      </w:r>
      <w:r>
        <w:rPr>
          <w:rStyle w:val="FootnoteReference"/>
        </w:rPr>
        <w:footnoteReference w:id="20"/>
      </w:r>
      <w:r>
        <w:t xml:space="preserve"> </w:t>
      </w:r>
    </w:p>
    <w:p w14:paraId="39B77558" w14:textId="77777777" w:rsidR="00B21C0A" w:rsidRDefault="00B21C0A" w:rsidP="008B7F64">
      <w:pPr>
        <w:pStyle w:val="ListParagraph"/>
        <w:numPr>
          <w:ilvl w:val="0"/>
          <w:numId w:val="13"/>
        </w:numPr>
      </w:pPr>
      <w:r>
        <w:t>Interactive</w:t>
      </w:r>
      <w:r>
        <w:rPr>
          <w:rStyle w:val="FootnoteReference"/>
        </w:rPr>
        <w:footnoteReference w:id="21"/>
      </w:r>
      <w:r>
        <w:t xml:space="preserve"> with practical exercises</w:t>
      </w:r>
    </w:p>
    <w:p w14:paraId="4E1D8B68" w14:textId="77777777" w:rsidR="00B21C0A" w:rsidRDefault="00B21C0A" w:rsidP="008B7F64">
      <w:pPr>
        <w:pStyle w:val="ListParagraph"/>
        <w:numPr>
          <w:ilvl w:val="0"/>
          <w:numId w:val="13"/>
        </w:numPr>
      </w:pPr>
      <w:r>
        <w:t>Lectures should be “short, focused”</w:t>
      </w:r>
      <w:r>
        <w:rPr>
          <w:rStyle w:val="FootnoteReference"/>
        </w:rPr>
        <w:footnoteReference w:id="22"/>
      </w:r>
    </w:p>
    <w:p w14:paraId="5E79F7D6" w14:textId="77777777" w:rsidR="00B21C0A" w:rsidRPr="00CB1854" w:rsidRDefault="00B21C0A" w:rsidP="008B7F64">
      <w:pPr>
        <w:pStyle w:val="ListParagraph"/>
        <w:numPr>
          <w:ilvl w:val="0"/>
          <w:numId w:val="13"/>
        </w:numPr>
      </w:pPr>
      <w:r>
        <w:t xml:space="preserve">Providing feedback </w:t>
      </w:r>
      <w:r>
        <w:rPr>
          <w:rStyle w:val="FootnoteReference"/>
        </w:rPr>
        <w:footnoteReference w:id="23"/>
      </w:r>
    </w:p>
    <w:p w14:paraId="0825AB88" w14:textId="77777777" w:rsidR="00CB1854" w:rsidRPr="00CB1854" w:rsidRDefault="00CB1854" w:rsidP="00CD091A"/>
    <w:p w14:paraId="28322B44" w14:textId="77777777" w:rsidR="0073632B" w:rsidRDefault="0073632B" w:rsidP="00CD091A">
      <w:pPr>
        <w:pStyle w:val="Heading2"/>
      </w:pPr>
      <w:r>
        <w:t>Content of social context judicial education programming</w:t>
      </w:r>
    </w:p>
    <w:p w14:paraId="27B2A5A6" w14:textId="77777777" w:rsidR="00B21C0A" w:rsidRPr="00B21C0A" w:rsidRDefault="00B21C0A" w:rsidP="00CD091A">
      <w:r>
        <w:t xml:space="preserve">The specific content of actual judicial education seminars is often quite difficult to access for those not otherwise involved in the process.  This is related to the concerns already mentioned about judicial independence, confidentiality, etc. </w:t>
      </w:r>
      <w:r>
        <w:rPr>
          <w:rStyle w:val="FootnoteReference"/>
        </w:rPr>
        <w:footnoteReference w:id="24"/>
      </w:r>
    </w:p>
    <w:p w14:paraId="0B8991E5" w14:textId="77777777" w:rsidR="0073632B" w:rsidRDefault="0073632B" w:rsidP="00CD091A">
      <w:pPr>
        <w:pStyle w:val="Heading2"/>
      </w:pPr>
      <w:r>
        <w:t>Evaluation and Impact of social context judicial education programming</w:t>
      </w:r>
    </w:p>
    <w:p w14:paraId="37AEC7B2" w14:textId="77777777" w:rsidR="001D3BCE" w:rsidRDefault="001D3BCE" w:rsidP="00CD091A">
      <w:r>
        <w:t>Many academics are surprised to see that there is very little evaluation of the impact of judicial education.</w:t>
      </w:r>
      <w:r w:rsidR="00203EC1">
        <w:rPr>
          <w:rStyle w:val="FootnoteReference"/>
        </w:rPr>
        <w:footnoteReference w:id="25"/>
      </w:r>
      <w:r>
        <w:t xml:space="preserve"> </w:t>
      </w:r>
    </w:p>
    <w:p w14:paraId="472FD8C5" w14:textId="77777777" w:rsidR="0073632B" w:rsidRPr="0073632B" w:rsidRDefault="001D3BCE" w:rsidP="00CD091A">
      <w:r>
        <w:t xml:space="preserve">Some of the reasons for the lack of rigorous attention to questions of impact rather than satisfaction no doubt relate to concern about judicial independence.  Others simply parallel the similar approach taken to measuring </w:t>
      </w:r>
      <w:r w:rsidR="000D529D">
        <w:t xml:space="preserve">teaching in many institutions of higher learning, where student satisfaction is the main and perhaps only part of impact that is measured. </w:t>
      </w:r>
      <w:r>
        <w:t xml:space="preserve"> But many long term actors in the field also recognize the need to “critically assess the measurable impact that judges’ learning is having towards creating a more just society”.</w:t>
      </w:r>
      <w:r>
        <w:rPr>
          <w:rStyle w:val="FootnoteReference"/>
        </w:rPr>
        <w:footnoteReference w:id="26"/>
      </w:r>
      <w:r>
        <w:t xml:space="preserve">  </w:t>
      </w:r>
    </w:p>
    <w:p w14:paraId="4A122C74" w14:textId="77777777" w:rsidR="002B2FAF" w:rsidRPr="002B2FAF" w:rsidRDefault="002B2FAF" w:rsidP="00CD091A"/>
    <w:p w14:paraId="40991CD3" w14:textId="77777777" w:rsidR="001D09EA" w:rsidRDefault="005032ED" w:rsidP="00CD091A">
      <w:pPr>
        <w:pStyle w:val="Heading1"/>
      </w:pPr>
      <w:r>
        <w:t>Workshop</w:t>
      </w:r>
    </w:p>
    <w:p w14:paraId="1004ACC2" w14:textId="77777777" w:rsidR="009872CE" w:rsidRPr="009872CE" w:rsidRDefault="009872CE" w:rsidP="00CD091A"/>
    <w:p w14:paraId="4CF3B1AE" w14:textId="113A2274" w:rsidR="005032ED" w:rsidRDefault="005032ED" w:rsidP="00CD091A">
      <w:r>
        <w:t xml:space="preserve">A final </w:t>
      </w:r>
      <w:r w:rsidR="009872CE">
        <w:t xml:space="preserve">aspect </w:t>
      </w:r>
      <w:r>
        <w:t>of the Project was to bring together academics</w:t>
      </w:r>
      <w:r w:rsidR="00863137">
        <w:t xml:space="preserve"> and civil society actors from M</w:t>
      </w:r>
      <w:r>
        <w:t xml:space="preserve">orocco and Canada.  </w:t>
      </w:r>
      <w:r w:rsidR="00A45D6A">
        <w:rPr>
          <w:lang w:val="en-US"/>
        </w:rPr>
        <w:t>A</w:t>
      </w:r>
      <w:r w:rsidR="00A45D6A" w:rsidRPr="00A45D6A">
        <w:rPr>
          <w:lang w:val="en-US"/>
        </w:rPr>
        <w:t xml:space="preserve">s </w:t>
      </w:r>
      <w:r w:rsidR="00A45D6A" w:rsidRPr="00A45D6A">
        <w:rPr>
          <w:noProof/>
          <w:lang w:eastAsia="en-CA"/>
        </w:rPr>
        <mc:AlternateContent>
          <mc:Choice Requires="wpg">
            <w:drawing>
              <wp:anchor distT="0" distB="0" distL="114300" distR="114300" simplePos="0" relativeHeight="251657728" behindDoc="1" locked="0" layoutInCell="1" allowOverlap="1" wp14:anchorId="058428FB" wp14:editId="3A24DA29">
                <wp:simplePos x="0" y="0"/>
                <wp:positionH relativeFrom="page">
                  <wp:posOffset>441325</wp:posOffset>
                </wp:positionH>
                <wp:positionV relativeFrom="paragraph">
                  <wp:posOffset>-5342255</wp:posOffset>
                </wp:positionV>
                <wp:extent cx="6888480" cy="5943600"/>
                <wp:effectExtent l="0" t="4445"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5943600"/>
                          <a:chOff x="696" y="-8413"/>
                          <a:chExt cx="10848" cy="9360"/>
                        </a:xfrm>
                      </wpg:grpSpPr>
                      <wps:wsp>
                        <wps:cNvPr id="6" name="Freeform 3"/>
                        <wps:cNvSpPr>
                          <a:spLocks/>
                        </wps:cNvSpPr>
                        <wps:spPr bwMode="auto">
                          <a:xfrm>
                            <a:off x="696" y="-8413"/>
                            <a:ext cx="10848" cy="9360"/>
                          </a:xfrm>
                          <a:custGeom>
                            <a:avLst/>
                            <a:gdLst>
                              <a:gd name="T0" fmla="+- 0 696 696"/>
                              <a:gd name="T1" fmla="*/ T0 w 10848"/>
                              <a:gd name="T2" fmla="+- 0 947 -8413"/>
                              <a:gd name="T3" fmla="*/ 947 h 9360"/>
                              <a:gd name="T4" fmla="+- 0 11544 696"/>
                              <a:gd name="T5" fmla="*/ T4 w 10848"/>
                              <a:gd name="T6" fmla="+- 0 947 -8413"/>
                              <a:gd name="T7" fmla="*/ 947 h 9360"/>
                              <a:gd name="T8" fmla="+- 0 11544 696"/>
                              <a:gd name="T9" fmla="*/ T8 w 10848"/>
                              <a:gd name="T10" fmla="+- 0 -8413 -8413"/>
                              <a:gd name="T11" fmla="*/ -8413 h 9360"/>
                              <a:gd name="T12" fmla="+- 0 696 696"/>
                              <a:gd name="T13" fmla="*/ T12 w 10848"/>
                              <a:gd name="T14" fmla="+- 0 -8413 -8413"/>
                              <a:gd name="T15" fmla="*/ -8413 h 9360"/>
                              <a:gd name="T16" fmla="+- 0 696 696"/>
                              <a:gd name="T17" fmla="*/ T16 w 10848"/>
                              <a:gd name="T18" fmla="+- 0 947 -8413"/>
                              <a:gd name="T19" fmla="*/ 947 h 9360"/>
                            </a:gdLst>
                            <a:ahLst/>
                            <a:cxnLst>
                              <a:cxn ang="0">
                                <a:pos x="T1" y="T3"/>
                              </a:cxn>
                              <a:cxn ang="0">
                                <a:pos x="T5" y="T7"/>
                              </a:cxn>
                              <a:cxn ang="0">
                                <a:pos x="T9" y="T11"/>
                              </a:cxn>
                              <a:cxn ang="0">
                                <a:pos x="T13" y="T15"/>
                              </a:cxn>
                              <a:cxn ang="0">
                                <a:pos x="T17" y="T19"/>
                              </a:cxn>
                            </a:cxnLst>
                            <a:rect l="0" t="0" r="r" b="b"/>
                            <a:pathLst>
                              <a:path w="10848" h="9360">
                                <a:moveTo>
                                  <a:pt x="0" y="9360"/>
                                </a:moveTo>
                                <a:lnTo>
                                  <a:pt x="10848" y="9360"/>
                                </a:lnTo>
                                <a:lnTo>
                                  <a:pt x="10848" y="0"/>
                                </a:lnTo>
                                <a:lnTo>
                                  <a:pt x="0" y="0"/>
                                </a:lnTo>
                                <a:lnTo>
                                  <a:pt x="0" y="9360"/>
                                </a:lnTo>
                              </a:path>
                            </a:pathLst>
                          </a:custGeom>
                          <a:solidFill>
                            <a:srgbClr val="EDEDE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83C24" id="Group 2" o:spid="_x0000_s1026" style="position:absolute;margin-left:34.75pt;margin-top:-420.65pt;width:542.4pt;height:468pt;z-index:-251658752;mso-position-horizontal-relative:page" coordorigin="696,-8413" coordsize="1084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">
                <v:shape id="Freeform 3" o:spid="_x0000_s1027" style="position:absolute;left:696;top:-8413;width:10848;height:9360;visibility:visible;mso-wrap-style:square;v-text-anchor:top" coordsize="10848,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" path="m,9360r10848,l10848,,,,,9360e" fillcolor="#ededed" stroked="f">
                  <v:path arrowok="t" o:connecttype="custom" o:connectlocs="0,947;10848,947;10848,-8413;0,-8413;0,947" o:connectangles="0,0,0,0,0"/>
                </v:shape>
                <w10:wrap anchorx="page"/>
              </v:group>
            </w:pict>
          </mc:Fallback>
        </mc:AlternateContent>
      </w:r>
      <w:r w:rsidR="00A45D6A" w:rsidRPr="00A45D6A">
        <w:rPr>
          <w:lang w:val="en-US"/>
        </w:rPr>
        <w:t>developing approaches to judicial education requires that they are appropriate for the national context</w:t>
      </w:r>
      <w:r w:rsidR="00A45D6A">
        <w:rPr>
          <w:lang w:val="en-US"/>
        </w:rPr>
        <w:t>, i</w:t>
      </w:r>
      <w:r w:rsidR="00A45D6A" w:rsidRPr="00A45D6A">
        <w:rPr>
          <w:lang w:val="en-US"/>
        </w:rPr>
        <w:t xml:space="preserve">n order to achieve this goal, we organized a workshop with key researchers, feminist lawyers, and judges.  This workshop was organized to facilitate collaboration between Canadian and Moroccan experts. </w:t>
      </w:r>
      <w:r w:rsidR="00FD712E">
        <w:rPr>
          <w:lang w:val="en-US"/>
        </w:rPr>
        <w:t xml:space="preserve">Secondly in order to support </w:t>
      </w:r>
      <w:r w:rsidR="00FD712E" w:rsidRPr="00FD712E">
        <w:rPr>
          <w:lang w:val="en-US"/>
        </w:rPr>
        <w:t>relationship-building  between Morocco women’s rights NGOs and the judicial sector</w:t>
      </w:r>
      <w:r w:rsidR="00FD712E">
        <w:rPr>
          <w:lang w:val="en-US"/>
        </w:rPr>
        <w:t>, the workshop focused on the two key components of the project;</w:t>
      </w:r>
      <w:r w:rsidR="00A45D6A" w:rsidRPr="00A45D6A">
        <w:rPr>
          <w:lang w:val="en-US"/>
        </w:rPr>
        <w:t xml:space="preserve"> gender and the law in Morocco and expertise on judicial education. </w:t>
      </w:r>
      <w:r w:rsidR="00AC13CE">
        <w:rPr>
          <w:lang w:val="en-US"/>
        </w:rPr>
        <w:t xml:space="preserve"> </w:t>
      </w:r>
      <w:r>
        <w:t xml:space="preserve">This meeting took place at Mohammed I University in Oujda Morocco May 19-20 2017.  </w:t>
      </w:r>
      <w:r w:rsidR="00AC13CE">
        <w:t xml:space="preserve">More information about the workshop is available here: </w:t>
      </w:r>
      <w:hyperlink r:id="rId9" w:history="1">
        <w:r w:rsidR="00AC13CE" w:rsidRPr="0048761C">
          <w:rPr>
            <w:rStyle w:val="Hyperlink"/>
          </w:rPr>
          <w:t>http://glp.info.yorku.ca/third-page/</w:t>
        </w:r>
      </w:hyperlink>
      <w:r w:rsidR="00AC13CE">
        <w:t xml:space="preserve"> </w:t>
      </w:r>
    </w:p>
    <w:p w14:paraId="3BF430AF" w14:textId="77777777" w:rsidR="005032ED" w:rsidRPr="005032ED" w:rsidRDefault="005032ED" w:rsidP="00CD091A">
      <w:r>
        <w:t xml:space="preserve">Both Canada and Morocco, in their regional contexts, are seen as jurisdictions in which women activists, NGO’s, lawyers and judges have had some success in getting issues of gender inequality onto national agendas and legal reforms.  In neither country, however, do these achievements seem particularly stable.  Ongoing work in both countries is required to ensure ongoing commitments and to ensure implementation of past commitments on the part of governments. The extent to which concerns of Canadian and Moroccan women’s advocates and academics in relation to judicial attitudes towards gender parallel each other suggested that there would be fruitful opportunities to discuss the challenges of legal and social reform with a focus on judicial education, and the opportunity to develop further collaborative initiatives.  </w:t>
      </w:r>
    </w:p>
    <w:p w14:paraId="21FC8690" w14:textId="77777777" w:rsidR="000A2FA5" w:rsidRDefault="000A2FA5" w:rsidP="00CD091A">
      <w:pPr>
        <w:pStyle w:val="Heading2"/>
      </w:pPr>
      <w:r>
        <w:t>Design</w:t>
      </w:r>
    </w:p>
    <w:p w14:paraId="7B8AC9F2" w14:textId="4268DBD7" w:rsidR="00895088" w:rsidRDefault="00A45D6A" w:rsidP="00CD091A">
      <w:pPr>
        <w:rPr>
          <w:lang w:val="en-US"/>
        </w:rPr>
      </w:pPr>
      <w:r>
        <w:rPr>
          <w:lang w:val="en-US"/>
        </w:rPr>
        <w:t xml:space="preserve">The workshop design was based on </w:t>
      </w:r>
      <w:r w:rsidRPr="00A45D6A">
        <w:rPr>
          <w:lang w:val="en-US"/>
        </w:rPr>
        <w:t>ensuring multi-sectoral participation</w:t>
      </w:r>
      <w:r w:rsidR="00FD712E">
        <w:rPr>
          <w:lang w:val="en-US"/>
        </w:rPr>
        <w:t xml:space="preserve"> to ensure </w:t>
      </w:r>
      <w:r w:rsidR="00FD712E" w:rsidRPr="00674509">
        <w:rPr>
          <w:lang w:val="en-US"/>
        </w:rPr>
        <w:t>maximum attendance of Moroccan stake</w:t>
      </w:r>
      <w:r w:rsidR="00FD712E">
        <w:rPr>
          <w:lang w:val="en-US"/>
        </w:rPr>
        <w:t>holders</w:t>
      </w:r>
      <w:r w:rsidR="00FD712E" w:rsidRPr="00A45D6A">
        <w:rPr>
          <w:lang w:val="en-US"/>
        </w:rPr>
        <w:t xml:space="preserve"> </w:t>
      </w:r>
      <w:r w:rsidRPr="00A45D6A">
        <w:rPr>
          <w:lang w:val="en-US"/>
        </w:rPr>
        <w:t>including local judges, NGOs, and scholars</w:t>
      </w:r>
      <w:r w:rsidR="00FD712E">
        <w:rPr>
          <w:lang w:val="en-US"/>
        </w:rPr>
        <w:t>. As a result, t</w:t>
      </w:r>
      <w:r w:rsidR="005503BA">
        <w:t xml:space="preserve">he workshop </w:t>
      </w:r>
      <w:r w:rsidR="00FD712E">
        <w:t xml:space="preserve">brought </w:t>
      </w:r>
      <w:r w:rsidR="005503BA">
        <w:t>bring together a range of Canadian and Moroc</w:t>
      </w:r>
      <w:r w:rsidR="00863137">
        <w:t>c</w:t>
      </w:r>
      <w:r w:rsidR="005503BA">
        <w:t xml:space="preserve">an experts </w:t>
      </w:r>
      <w:r w:rsidR="00863137">
        <w:t>i</w:t>
      </w:r>
      <w:r w:rsidR="005503BA">
        <w:t>n the areas of gender and the law</w:t>
      </w:r>
      <w:r w:rsidR="00523DE9">
        <w:t>,</w:t>
      </w:r>
      <w:r w:rsidR="005503BA">
        <w:t xml:space="preserve"> judicial </w:t>
      </w:r>
      <w:r w:rsidR="009872CE">
        <w:t xml:space="preserve">and equity education. </w:t>
      </w:r>
      <w:r w:rsidR="00895088">
        <w:rPr>
          <w:lang w:val="en-US"/>
        </w:rPr>
        <w:t xml:space="preserve">The presence of feminist lawyers and NGO was especially important, as the inclusion of these actors allowed </w:t>
      </w:r>
      <w:r w:rsidR="00FD712E">
        <w:rPr>
          <w:lang w:val="en-US"/>
        </w:rPr>
        <w:t xml:space="preserve">for broad discussion of the issues, as well for </w:t>
      </w:r>
      <w:r w:rsidR="00895088">
        <w:rPr>
          <w:lang w:val="en-US"/>
        </w:rPr>
        <w:t>wide dessimination of the results, and would facilitate capacity building in many of the agents involved in women’s legal claims. It would also allow building a broad base with which to make enroads in judicial education</w:t>
      </w:r>
      <w:r w:rsidR="00FD712E">
        <w:rPr>
          <w:lang w:val="en-US"/>
        </w:rPr>
        <w:t>.</w:t>
      </w:r>
      <w:r w:rsidR="00674509" w:rsidRPr="00674509">
        <w:rPr>
          <w:lang w:val="en-US"/>
        </w:rPr>
        <w:t xml:space="preserve"> </w:t>
      </w:r>
    </w:p>
    <w:p w14:paraId="47DA8E87" w14:textId="77777777" w:rsidR="004C6EDE" w:rsidRDefault="00157093" w:rsidP="00CD091A">
      <w:pPr>
        <w:rPr>
          <w:lang w:val="en-US"/>
        </w:rPr>
      </w:pPr>
      <w:r>
        <w:rPr>
          <w:lang w:val="en-US"/>
        </w:rPr>
        <w:t xml:space="preserve">As a result the questions for the workshop was extended to include: </w:t>
      </w:r>
    </w:p>
    <w:p w14:paraId="3349F488" w14:textId="77777777" w:rsidR="004C6EDE" w:rsidRDefault="00157093" w:rsidP="00CD091A">
      <w:pPr>
        <w:rPr>
          <w:lang w:val="en-US"/>
        </w:rPr>
      </w:pPr>
      <w:r>
        <w:rPr>
          <w:lang w:val="en-US"/>
        </w:rPr>
        <w:t xml:space="preserve">(1) what are the gender biases in the law; </w:t>
      </w:r>
    </w:p>
    <w:p w14:paraId="0C39BABB" w14:textId="77777777" w:rsidR="004C6EDE" w:rsidRDefault="00895088" w:rsidP="00CD091A">
      <w:pPr>
        <w:rPr>
          <w:lang w:val="en-US"/>
        </w:rPr>
      </w:pPr>
      <w:r>
        <w:rPr>
          <w:lang w:val="en-US"/>
        </w:rPr>
        <w:t>(2) what are the patterns in decision making by judges in Morocco:</w:t>
      </w:r>
      <w:r w:rsidR="004C6EDE">
        <w:rPr>
          <w:lang w:val="en-US"/>
        </w:rPr>
        <w:t xml:space="preserve"> </w:t>
      </w:r>
    </w:p>
    <w:p w14:paraId="19A9042C" w14:textId="77777777" w:rsidR="004C6EDE" w:rsidRDefault="00895088" w:rsidP="00CD091A">
      <w:pPr>
        <w:rPr>
          <w:lang w:val="en-US"/>
        </w:rPr>
      </w:pPr>
      <w:r>
        <w:rPr>
          <w:lang w:val="en-US"/>
        </w:rPr>
        <w:t xml:space="preserve">(3) what are the patterns in decision-making in gendered based cases in Canada; </w:t>
      </w:r>
    </w:p>
    <w:p w14:paraId="2AA7260A" w14:textId="36208C09" w:rsidR="00157093" w:rsidRDefault="00895088" w:rsidP="00CD091A">
      <w:pPr>
        <w:rPr>
          <w:lang w:val="en-US"/>
        </w:rPr>
      </w:pPr>
      <w:r>
        <w:rPr>
          <w:lang w:val="en-US"/>
        </w:rPr>
        <w:t>(4) what are the initiatives in judicial education and equity education, and how effective have these initiatives been.</w:t>
      </w:r>
    </w:p>
    <w:p w14:paraId="4ACB4D30" w14:textId="77777777" w:rsidR="00157093" w:rsidRDefault="00157093" w:rsidP="00CD091A">
      <w:pPr>
        <w:rPr>
          <w:lang w:val="en-US"/>
        </w:rPr>
      </w:pPr>
    </w:p>
    <w:p w14:paraId="27906393" w14:textId="7E7B832C" w:rsidR="00157093" w:rsidRPr="000A2FA5" w:rsidRDefault="00674509" w:rsidP="00CD091A">
      <w:r>
        <w:rPr>
          <w:lang w:val="en-US"/>
        </w:rPr>
        <w:t xml:space="preserve">In order to </w:t>
      </w:r>
      <w:r w:rsidR="00895088">
        <w:rPr>
          <w:lang w:val="en-US"/>
        </w:rPr>
        <w:t>facilitate</w:t>
      </w:r>
      <w:r>
        <w:rPr>
          <w:lang w:val="en-US"/>
        </w:rPr>
        <w:t xml:space="preserve"> </w:t>
      </w:r>
      <w:r w:rsidR="00523DE9" w:rsidRPr="00523DE9">
        <w:rPr>
          <w:lang w:val="en-US"/>
        </w:rPr>
        <w:t>dialogue with the different constituencies</w:t>
      </w:r>
      <w:r>
        <w:rPr>
          <w:lang w:val="en-US"/>
        </w:rPr>
        <w:t xml:space="preserve">, the </w:t>
      </w:r>
      <w:r w:rsidR="00895088">
        <w:rPr>
          <w:lang w:val="en-US"/>
        </w:rPr>
        <w:t>panels</w:t>
      </w:r>
      <w:r>
        <w:rPr>
          <w:lang w:val="en-US"/>
        </w:rPr>
        <w:t xml:space="preserve"> incorporated presentations from members of </w:t>
      </w:r>
      <w:r w:rsidR="00895088">
        <w:rPr>
          <w:lang w:val="en-US"/>
        </w:rPr>
        <w:t xml:space="preserve">different </w:t>
      </w:r>
      <w:r w:rsidR="008B7F64">
        <w:rPr>
          <w:lang w:val="en-US"/>
        </w:rPr>
        <w:t>constitutuencies</w:t>
      </w:r>
      <w:r>
        <w:rPr>
          <w:lang w:val="en-US"/>
        </w:rPr>
        <w:t>. It also offered English,</w:t>
      </w:r>
      <w:r w:rsidR="00895088">
        <w:rPr>
          <w:lang w:val="en-US"/>
        </w:rPr>
        <w:t xml:space="preserve"> </w:t>
      </w:r>
      <w:r>
        <w:rPr>
          <w:lang w:val="en-US"/>
        </w:rPr>
        <w:t>French and Arabic translation</w:t>
      </w:r>
      <w:r w:rsidR="000A2FA5">
        <w:rPr>
          <w:lang w:val="en-US"/>
        </w:rPr>
        <w:t xml:space="preserve">. </w:t>
      </w:r>
      <w:r w:rsidR="00895088">
        <w:rPr>
          <w:lang w:val="en-US"/>
        </w:rPr>
        <w:t>Arabic translat</w:t>
      </w:r>
      <w:r w:rsidR="009565F3">
        <w:rPr>
          <w:lang w:val="en-US"/>
        </w:rPr>
        <w:t>ion was crucial for NGO partici</w:t>
      </w:r>
      <w:r w:rsidR="00895088">
        <w:rPr>
          <w:lang w:val="en-US"/>
        </w:rPr>
        <w:t xml:space="preserve">pation. </w:t>
      </w:r>
    </w:p>
    <w:p w14:paraId="19A9C544" w14:textId="77777777" w:rsidR="000A2FA5" w:rsidRDefault="000A2FA5" w:rsidP="00CD091A">
      <w:pPr>
        <w:rPr>
          <w:lang w:val="en-US"/>
        </w:rPr>
      </w:pPr>
    </w:p>
    <w:p w14:paraId="2101739C" w14:textId="77777777" w:rsidR="000A2FA5" w:rsidRDefault="000A2FA5" w:rsidP="00CD091A">
      <w:pPr>
        <w:pStyle w:val="Heading2"/>
        <w:numPr>
          <w:ilvl w:val="1"/>
          <w:numId w:val="10"/>
        </w:numPr>
      </w:pPr>
      <w:r>
        <w:t xml:space="preserve">Workshop participants </w:t>
      </w:r>
    </w:p>
    <w:p w14:paraId="1B07D44A" w14:textId="3A1BADE3" w:rsidR="000A2FA5" w:rsidRPr="000A2FA5" w:rsidRDefault="000A2FA5" w:rsidP="00CD091A">
      <w:r>
        <w:t xml:space="preserve">Over 170 people attended the workshop. </w:t>
      </w:r>
      <w:r w:rsidR="00863137">
        <w:t>These who presented and attended the workshop included faculty who worked on gender and the law, judicial education, equity, representatives from the Canadian N</w:t>
      </w:r>
      <w:r>
        <w:t xml:space="preserve">ational Judicial Institute, feminist lawyers, judges and NGO. It also included graduate and undergraduate students. Students from the faculty of law especially found the workshop useful. </w:t>
      </w:r>
      <w:r w:rsidR="009565F3">
        <w:t>It was exciting to have students present at the workshop as awareness among an emerging cohort of lawyers and judges will provide additional venues for judicial education.</w:t>
      </w:r>
    </w:p>
    <w:p w14:paraId="1667E13E" w14:textId="77777777" w:rsidR="000A2FA5" w:rsidRPr="000A2FA5" w:rsidRDefault="000A2FA5" w:rsidP="00CD091A">
      <w:pPr>
        <w:rPr>
          <w:lang w:val="en-US"/>
        </w:rPr>
      </w:pPr>
    </w:p>
    <w:p w14:paraId="2A38D081" w14:textId="77777777" w:rsidR="000A2FA5" w:rsidRDefault="000A2FA5" w:rsidP="00CD091A">
      <w:pPr>
        <w:pStyle w:val="Heading2"/>
        <w:numPr>
          <w:ilvl w:val="1"/>
          <w:numId w:val="10"/>
        </w:numPr>
      </w:pPr>
      <w:r>
        <w:t xml:space="preserve">Workshop results: </w:t>
      </w:r>
    </w:p>
    <w:p w14:paraId="2340A25E" w14:textId="32D47556" w:rsidR="009565F3" w:rsidRDefault="009565F3" w:rsidP="00CD091A">
      <w:r w:rsidRPr="00415002">
        <w:rPr>
          <w:lang w:val="en-US"/>
        </w:rPr>
        <w:t xml:space="preserve">The workshop </w:t>
      </w:r>
      <w:r w:rsidR="004C6EDE">
        <w:rPr>
          <w:lang w:val="en-US"/>
        </w:rPr>
        <w:t>engendered</w:t>
      </w:r>
      <w:r>
        <w:rPr>
          <w:lang w:val="en-US"/>
        </w:rPr>
        <w:t xml:space="preserve"> a productive dialogue – and a range of issues were addressed. </w:t>
      </w:r>
      <w:r w:rsidR="00415002" w:rsidRPr="00415002">
        <w:rPr>
          <w:lang w:val="en-US"/>
        </w:rPr>
        <w:t>First, the iss</w:t>
      </w:r>
      <w:r w:rsidR="00415002">
        <w:rPr>
          <w:lang w:val="en-US"/>
        </w:rPr>
        <w:t>u</w:t>
      </w:r>
      <w:r w:rsidR="00415002" w:rsidRPr="00415002">
        <w:rPr>
          <w:lang w:val="en-US"/>
        </w:rPr>
        <w:t xml:space="preserve">e of how to do this work with judges </w:t>
      </w:r>
      <w:r>
        <w:rPr>
          <w:lang w:val="en-US"/>
        </w:rPr>
        <w:t xml:space="preserve">in Morocco </w:t>
      </w:r>
      <w:r w:rsidR="00415002" w:rsidRPr="00415002">
        <w:rPr>
          <w:lang w:val="en-US"/>
        </w:rPr>
        <w:t xml:space="preserve">emerged. Questions </w:t>
      </w:r>
      <w:r>
        <w:rPr>
          <w:lang w:val="en-US"/>
        </w:rPr>
        <w:t xml:space="preserve">included </w:t>
      </w:r>
      <w:r w:rsidR="00415002" w:rsidRPr="00415002">
        <w:rPr>
          <w:lang w:val="en-US"/>
        </w:rPr>
        <w:t xml:space="preserve">the real </w:t>
      </w:r>
      <w:r>
        <w:rPr>
          <w:lang w:val="en-US"/>
        </w:rPr>
        <w:t xml:space="preserve">and perceived </w:t>
      </w:r>
      <w:r w:rsidR="00415002" w:rsidRPr="00415002">
        <w:rPr>
          <w:lang w:val="en-US"/>
        </w:rPr>
        <w:t xml:space="preserve">need </w:t>
      </w:r>
      <w:r>
        <w:rPr>
          <w:lang w:val="en-US"/>
        </w:rPr>
        <w:t xml:space="preserve">for judicial </w:t>
      </w:r>
      <w:r w:rsidR="00415002">
        <w:rPr>
          <w:lang w:val="en-US"/>
        </w:rPr>
        <w:t>n</w:t>
      </w:r>
      <w:r w:rsidR="00415002" w:rsidRPr="00523DE9">
        <w:t>eutrality</w:t>
      </w:r>
      <w:r>
        <w:t xml:space="preserve">. In addition the discussion focussed on </w:t>
      </w:r>
      <w:r w:rsidR="00415002">
        <w:t>some of the social parameters</w:t>
      </w:r>
      <w:r>
        <w:t xml:space="preserve"> for judicial education</w:t>
      </w:r>
      <w:r w:rsidR="00415002">
        <w:t>, such as the r</w:t>
      </w:r>
      <w:r w:rsidR="00415002" w:rsidRPr="00523DE9">
        <w:t>ecepti</w:t>
      </w:r>
      <w:r w:rsidR="00415002">
        <w:t>on</w:t>
      </w:r>
      <w:r w:rsidR="00415002" w:rsidRPr="00523DE9">
        <w:t xml:space="preserve"> to social science evidence and social science methods</w:t>
      </w:r>
      <w:r w:rsidR="00415002">
        <w:t>, and the resistance to e</w:t>
      </w:r>
      <w:r w:rsidR="00415002" w:rsidRPr="00523DE9">
        <w:t>ducation</w:t>
      </w:r>
      <w:r w:rsidR="00415002">
        <w:t xml:space="preserve">. It this context, the discussion </w:t>
      </w:r>
      <w:r>
        <w:t xml:space="preserve">pointed to out the challenges in the Moroccan context would be similar to what </w:t>
      </w:r>
      <w:r w:rsidR="00415002">
        <w:t xml:space="preserve">much of the literature </w:t>
      </w:r>
      <w:r>
        <w:t>in</w:t>
      </w:r>
      <w:r w:rsidR="00415002">
        <w:t xml:space="preserve"> the field</w:t>
      </w:r>
      <w:r>
        <w:t xml:space="preserve"> has identified</w:t>
      </w:r>
      <w:r w:rsidR="00415002">
        <w:t xml:space="preserve">. </w:t>
      </w:r>
    </w:p>
    <w:p w14:paraId="2D044029" w14:textId="77777777" w:rsidR="009565F3" w:rsidRDefault="00415002" w:rsidP="00CD091A">
      <w:r>
        <w:t xml:space="preserve">Second, the discussion focused on </w:t>
      </w:r>
      <w:r w:rsidR="000A2FA5" w:rsidRPr="00415002">
        <w:rPr>
          <w:lang w:val="en-US"/>
        </w:rPr>
        <w:t>h</w:t>
      </w:r>
      <w:r w:rsidR="00523DE9" w:rsidRPr="00523DE9">
        <w:t>ow useful is it to consider Morocco and Canada comparatively or together, given the differences</w:t>
      </w:r>
      <w:r w:rsidR="009565F3">
        <w:t xml:space="preserve"> in the two societies</w:t>
      </w:r>
      <w:r w:rsidR="000A2FA5">
        <w:t>. Discuss</w:t>
      </w:r>
      <w:r>
        <w:t xml:space="preserve">ants consistently expressed surprise at the commonalities. Particularly as the Canadian participants highlighted recent and notable examples of </w:t>
      </w:r>
      <w:r w:rsidR="00EB5931">
        <w:t xml:space="preserve">gender biases in legal decisions in sexual assault, many noted similar biases. </w:t>
      </w:r>
    </w:p>
    <w:p w14:paraId="5262F4C6" w14:textId="1F499224" w:rsidR="009565F3" w:rsidRPr="0093670F" w:rsidRDefault="00EB5931" w:rsidP="00CD091A">
      <w:pPr>
        <w:rPr>
          <w:b/>
        </w:rPr>
      </w:pPr>
      <w:r>
        <w:t xml:space="preserve">Third, </w:t>
      </w:r>
      <w:r w:rsidR="00415002">
        <w:t>the discussion raised the question of w</w:t>
      </w:r>
      <w:r w:rsidR="00523DE9" w:rsidRPr="00523DE9">
        <w:t>hat forces</w:t>
      </w:r>
      <w:r>
        <w:t xml:space="preserve"> </w:t>
      </w:r>
      <w:r w:rsidR="00523DE9" w:rsidRPr="00523DE9">
        <w:t xml:space="preserve">sustain violence against women in Canada and </w:t>
      </w:r>
      <w:r w:rsidR="00523DE9" w:rsidRPr="0093670F">
        <w:t>Morocco</w:t>
      </w:r>
      <w:r w:rsidR="00415002" w:rsidRPr="0093670F">
        <w:t xml:space="preserve">. In this, the role of </w:t>
      </w:r>
      <w:r w:rsidR="00523DE9" w:rsidRPr="0093670F">
        <w:t xml:space="preserve"> “culture”</w:t>
      </w:r>
      <w:r w:rsidR="00415002" w:rsidRPr="0093670F">
        <w:t xml:space="preserve"> and religion was identified. </w:t>
      </w:r>
    </w:p>
    <w:p w14:paraId="61DA1627" w14:textId="5939FB07" w:rsidR="00EB5931" w:rsidRDefault="009F2004" w:rsidP="00CD091A">
      <w:r>
        <w:t>T</w:t>
      </w:r>
      <w:r w:rsidR="00EB5931">
        <w:t>he discussion identified the s</w:t>
      </w:r>
      <w:r w:rsidR="00523DE9" w:rsidRPr="00523DE9">
        <w:t>pecific legal gendered Issues in Morocco</w:t>
      </w:r>
      <w:r w:rsidR="00EB5931">
        <w:t>. Drawing from several of the presentations, the discussion raised the ways in which the l</w:t>
      </w:r>
      <w:r w:rsidR="00EB5931" w:rsidRPr="00523DE9">
        <w:t xml:space="preserve">anguage of Moroccan </w:t>
      </w:r>
      <w:r w:rsidR="00EB5931">
        <w:t>S</w:t>
      </w:r>
      <w:r w:rsidR="00EB5931" w:rsidRPr="00523DE9">
        <w:t xml:space="preserve">upreme Court </w:t>
      </w:r>
      <w:r w:rsidR="00EB5931">
        <w:t>d</w:t>
      </w:r>
      <w:r w:rsidR="00EB5931" w:rsidRPr="00523DE9">
        <w:t xml:space="preserve">escribed </w:t>
      </w:r>
      <w:r w:rsidR="00EB5931">
        <w:t xml:space="preserve">women </w:t>
      </w:r>
      <w:r w:rsidR="00EB5931" w:rsidRPr="00523DE9">
        <w:t>as property of men, despite the fact that contemporary Moroccan law does not use this language.</w:t>
      </w:r>
      <w:r w:rsidR="00EB5931">
        <w:t xml:space="preserve"> In addition, the issue of the m</w:t>
      </w:r>
      <w:r w:rsidR="00523DE9" w:rsidRPr="00523DE9">
        <w:t>arriage of minors</w:t>
      </w:r>
      <w:r w:rsidR="00EB5931">
        <w:t xml:space="preserve"> (it was noted that the n</w:t>
      </w:r>
      <w:r w:rsidR="00EB5931" w:rsidRPr="00523DE9">
        <w:t>umber of underaged girls becoming marriages is significant in the post-2004 period</w:t>
      </w:r>
      <w:r w:rsidR="00EB5931">
        <w:t>), i</w:t>
      </w:r>
      <w:r w:rsidR="00523DE9" w:rsidRPr="00523DE9">
        <w:t>ncomplete reform of the Family Law in Morocco</w:t>
      </w:r>
      <w:r w:rsidR="00EB5931">
        <w:t>, m</w:t>
      </w:r>
      <w:r w:rsidR="00523DE9" w:rsidRPr="00523DE9">
        <w:t xml:space="preserve">arriage </w:t>
      </w:r>
      <w:r w:rsidR="00EB5931">
        <w:t>d</w:t>
      </w:r>
      <w:r w:rsidR="00523DE9" w:rsidRPr="00523DE9">
        <w:t xml:space="preserve">ocumentation </w:t>
      </w:r>
      <w:r w:rsidR="00EB5931">
        <w:t>r</w:t>
      </w:r>
      <w:r w:rsidR="00523DE9" w:rsidRPr="00523DE9">
        <w:t>ules</w:t>
      </w:r>
      <w:r w:rsidR="00EB5931">
        <w:t>, t</w:t>
      </w:r>
      <w:r w:rsidR="00523DE9" w:rsidRPr="00523DE9">
        <w:t xml:space="preserve">he extension of the registration period is being used in Urban areas to circumvent </w:t>
      </w:r>
      <w:r w:rsidR="00EB5931">
        <w:t>…, u</w:t>
      </w:r>
      <w:r w:rsidR="00523DE9" w:rsidRPr="00523DE9">
        <w:t>nder the Moudawana, judges are being more lenient than under the previous law</w:t>
      </w:r>
      <w:r w:rsidR="00EB5931">
        <w:t>, j</w:t>
      </w:r>
      <w:r w:rsidR="00523DE9" w:rsidRPr="00523DE9">
        <w:t>udicial Approval of Polygamous marriages at the Supreme Court level granting polygamy on the basis that no male children ha</w:t>
      </w:r>
      <w:r w:rsidR="00EB5931">
        <w:t>ve been born to the first wife, l</w:t>
      </w:r>
      <w:r w:rsidR="00523DE9" w:rsidRPr="00523DE9">
        <w:t>aw of Muslim women marrying non-Muslim men</w:t>
      </w:r>
      <w:r w:rsidR="00EB5931">
        <w:t>.</w:t>
      </w:r>
      <w:r>
        <w:t xml:space="preserve"> The discussion highlighted the s</w:t>
      </w:r>
      <w:r w:rsidRPr="00523DE9">
        <w:t xml:space="preserve">econd </w:t>
      </w:r>
      <w:r>
        <w:t>c</w:t>
      </w:r>
      <w:r w:rsidRPr="00523DE9">
        <w:t>lass status of women in Moroccan law</w:t>
      </w:r>
      <w:r>
        <w:t>.</w:t>
      </w:r>
    </w:p>
    <w:p w14:paraId="252A6258" w14:textId="77777777" w:rsidR="004C6EDE" w:rsidRDefault="00EB5931" w:rsidP="00CD091A">
      <w:r w:rsidRPr="00523DE9">
        <w:t>Questions about women’s access for justice</w:t>
      </w:r>
      <w:r>
        <w:t xml:space="preserve"> were central. The continued </w:t>
      </w:r>
      <w:r w:rsidRPr="00523DE9">
        <w:t>challenges in terms of women’s access t</w:t>
      </w:r>
      <w:r>
        <w:t>o justice</w:t>
      </w:r>
      <w:r w:rsidR="00D91C33">
        <w:t xml:space="preserve">, particularly when there is a </w:t>
      </w:r>
      <w:r w:rsidR="00D91C33" w:rsidRPr="00523DE9">
        <w:t>continued preference for families to “deal with” cases of violence rather than going to the courts</w:t>
      </w:r>
      <w:r w:rsidR="00D91C33">
        <w:t xml:space="preserve">. </w:t>
      </w:r>
      <w:r w:rsidR="004C6EDE">
        <w:t>The person in the position ‘</w:t>
      </w:r>
      <w:r w:rsidRPr="00523DE9">
        <w:t>en charge des femmes et enfants victims de violence</w:t>
      </w:r>
      <w:r w:rsidR="004C6EDE">
        <w:t>’</w:t>
      </w:r>
      <w:r w:rsidRPr="00523DE9">
        <w:t>, for instance, works with the religious authorities who tend to emphasize duties to the family and sacrifice.</w:t>
      </w:r>
      <w:r w:rsidR="009565F3">
        <w:t xml:space="preserve"> </w:t>
      </w:r>
    </w:p>
    <w:p w14:paraId="0F8F4D95" w14:textId="3DF0A0BD" w:rsidR="009565F3" w:rsidRPr="00523DE9" w:rsidRDefault="004C6EDE" w:rsidP="00CD091A">
      <w:r>
        <w:t>The workshop also raised u</w:t>
      </w:r>
      <w:r w:rsidR="009565F3" w:rsidRPr="00523DE9">
        <w:t>nintended consequences of legal reforms</w:t>
      </w:r>
      <w:r>
        <w:t>, for instance, the laws which allowed registration of religious marriage and restricted polygamy may have led to situations where religious marriage is being used to avoid the legal restrictions on polygamy.</w:t>
      </w:r>
    </w:p>
    <w:p w14:paraId="04F9CFBC" w14:textId="5B293C1C" w:rsidR="0093670F" w:rsidRPr="0093670F" w:rsidRDefault="00EB5931" w:rsidP="0093670F">
      <w:r>
        <w:t>The discussion included h</w:t>
      </w:r>
      <w:r w:rsidR="00523DE9" w:rsidRPr="00523DE9">
        <w:t>ow to ensure that the Constituti</w:t>
      </w:r>
      <w:r>
        <w:t>onal right to equality governs the legal system. A</w:t>
      </w:r>
      <w:r w:rsidR="00523DE9" w:rsidRPr="00523DE9">
        <w:t xml:space="preserve">rgument </w:t>
      </w:r>
      <w:r>
        <w:t xml:space="preserve">were </w:t>
      </w:r>
      <w:r w:rsidR="00523DE9" w:rsidRPr="00523DE9">
        <w:t>raised from the audience about the “protective” nature of this law</w:t>
      </w:r>
      <w:r w:rsidR="004C6EDE">
        <w:t xml:space="preserve">, and experts responded in part by reference to a </w:t>
      </w:r>
      <w:r>
        <w:t xml:space="preserve">study </w:t>
      </w:r>
      <w:r w:rsidR="004C6EDE">
        <w:t>by NGO Marsad Oyyoun Nissaiya, which r</w:t>
      </w:r>
      <w:r>
        <w:t xml:space="preserve">aised the importance of </w:t>
      </w:r>
      <w:r w:rsidRPr="00523DE9">
        <w:t>‘looking through women’s eyes’ a</w:t>
      </w:r>
      <w:r w:rsidR="004C6EDE">
        <w:t>t legal decisions rather than describing them as protective without attention to the experi</w:t>
      </w:r>
      <w:r w:rsidR="0093670F">
        <w:t>ence of women under these laws.</w:t>
      </w:r>
    </w:p>
    <w:p w14:paraId="01FF8658" w14:textId="625F2F49" w:rsidR="001D09EA" w:rsidRDefault="005032ED" w:rsidP="00CD091A">
      <w:pPr>
        <w:pStyle w:val="Heading1"/>
      </w:pPr>
      <w:r>
        <w:t>Conclusion</w:t>
      </w:r>
    </w:p>
    <w:p w14:paraId="369A559E" w14:textId="77777777" w:rsidR="0093670F" w:rsidRDefault="0093670F" w:rsidP="00AC13CE">
      <w:r>
        <w:t>Our discussions with the research partners and workshop participants identified a wider role for the kind of social context ed</w:t>
      </w:r>
      <w:bookmarkStart w:id="2" w:name="_GoBack"/>
      <w:bookmarkEnd w:id="2"/>
      <w:r>
        <w:t xml:space="preserve">ucation, encouraging critical thinking and self reflection, a role beyond the judicial sector. In particular, university education and the education of law students in general were identified as places where the thinking behind social context education would be a significant change in pedagogy with potentially positive effects for the position of women.   </w:t>
      </w:r>
    </w:p>
    <w:p w14:paraId="38F03B61" w14:textId="6DACB3A8" w:rsidR="0093670F" w:rsidRDefault="0093670F" w:rsidP="00AC13CE">
      <w:r>
        <w:t xml:space="preserve">The Canadian experience with efforts to implement social context education for judges illustrates the reasons why this path was chosen – reasons that are echoed in the Moroccan context.  This is despite the vast differences between the two jurisdictions, ranging from demographic differences, through the completely different legal systems in place (where Morocco is governed by a system of civil law, the Canadian system is bi-juridical and significantly dominated by a common law system).  The challenge for Moroccan educators now is to generate a curriculum for social context education appropriate for the Moroccan context, and to build the kind of political support and connections required to implement such a curriculum into the training and ongoing education of magistrates and judges. </w:t>
      </w:r>
      <w:r w:rsidR="00AC13CE">
        <w:t xml:space="preserve"> In this effort, we are hopeful that the research, connections and discussions generated by this project will prove useful. </w:t>
      </w:r>
    </w:p>
    <w:p w14:paraId="15752028" w14:textId="77777777" w:rsidR="00AC13CE" w:rsidRDefault="00AC13CE" w:rsidP="00CD091A"/>
    <w:p w14:paraId="42D19857" w14:textId="2494DF34" w:rsidR="005032ED" w:rsidRDefault="005032ED" w:rsidP="00CD091A"/>
    <w:sectPr w:rsidR="005032ED" w:rsidSect="00523DE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CE9FE" w14:textId="77777777" w:rsidR="00562FB1" w:rsidRDefault="00562FB1" w:rsidP="00CD091A">
      <w:r>
        <w:separator/>
      </w:r>
    </w:p>
  </w:endnote>
  <w:endnote w:type="continuationSeparator" w:id="0">
    <w:p w14:paraId="0C9597A9" w14:textId="77777777" w:rsidR="00562FB1" w:rsidRDefault="00562FB1" w:rsidP="00CD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dvPS8585">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7A99" w14:textId="7F9B46E2" w:rsidR="000F2287" w:rsidRDefault="006F7667">
    <w:pPr>
      <w:spacing w:line="14" w:lineRule="auto"/>
      <w:rPr>
        <w:sz w:val="20"/>
        <w:szCs w:val="20"/>
      </w:rPr>
    </w:pPr>
    <w:r>
      <w:rPr>
        <w:noProof/>
        <w:lang w:eastAsia="en-CA"/>
      </w:rPr>
      <mc:AlternateContent>
        <mc:Choice Requires="wps">
          <w:drawing>
            <wp:anchor distT="0" distB="0" distL="114300" distR="114300" simplePos="0" relativeHeight="251659264" behindDoc="1" locked="0" layoutInCell="1" allowOverlap="1" wp14:anchorId="27043F7E" wp14:editId="44AB6DAC">
              <wp:simplePos x="0" y="0"/>
              <wp:positionH relativeFrom="page">
                <wp:posOffset>6561455</wp:posOffset>
              </wp:positionH>
              <wp:positionV relativeFrom="page">
                <wp:posOffset>10079355</wp:posOffset>
              </wp:positionV>
              <wp:extent cx="128270" cy="177800"/>
              <wp:effectExtent l="0" t="1905" r="0" b="127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47E17" w14:textId="601E98A7" w:rsidR="000F2287" w:rsidRDefault="000F2287">
                          <w:pPr>
                            <w:pStyle w:val="BodyText"/>
                            <w:spacing w:before="0" w:line="272" w:lineRule="exact"/>
                            <w:ind w:left="40"/>
                            <w:rPr>
                              <w:rFonts w:ascii="Calibri" w:eastAsia="Calibri" w:hAnsi="Calibri" w:cs="Calibri"/>
                            </w:rPr>
                          </w:pPr>
                          <w:r>
                            <w:fldChar w:fldCharType="begin"/>
                          </w:r>
                          <w:r>
                            <w:rPr>
                              <w:rFonts w:ascii="Calibri"/>
                            </w:rPr>
                            <w:instrText xml:space="preserve"> PAGE </w:instrText>
                          </w:r>
                          <w:r>
                            <w:fldChar w:fldCharType="separate"/>
                          </w:r>
                          <w:r w:rsidR="00AC13CE">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43F7E" id="_x0000_t202" coordsize="21600,21600" o:spt="202" path="m,l,21600r21600,l21600,xe">
              <v:stroke joinstyle="miter"/>
              <v:path gradientshapeok="t" o:connecttype="rect"/>
            </v:shapetype>
            <v:shape id="Text Box 1" o:spid="_x0000_s1026" type="#_x0000_t202" style="position:absolute;margin-left:516.65pt;margin-top:793.65pt;width:10.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ZfrgIAAKk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" filled="f" stroked="f">
              <v:textbox inset="0,0,0,0">
                <w:txbxContent>
                  <w:p w14:paraId="69047E17" w14:textId="601E98A7" w:rsidR="000F2287" w:rsidRDefault="000F2287">
                    <w:pPr>
                      <w:pStyle w:val="BodyText"/>
                      <w:spacing w:before="0" w:line="272" w:lineRule="exact"/>
                      <w:ind w:left="40"/>
                      <w:rPr>
                        <w:rFonts w:ascii="Calibri" w:eastAsia="Calibri" w:hAnsi="Calibri" w:cs="Calibri"/>
                      </w:rPr>
                    </w:pPr>
                    <w:r>
                      <w:fldChar w:fldCharType="begin"/>
                    </w:r>
                    <w:r>
                      <w:rPr>
                        <w:rFonts w:ascii="Calibri"/>
                      </w:rPr>
                      <w:instrText xml:space="preserve"> PAGE </w:instrText>
                    </w:r>
                    <w:r>
                      <w:fldChar w:fldCharType="separate"/>
                    </w:r>
                    <w:r w:rsidR="00AC13CE">
                      <w:rPr>
                        <w:rFonts w:ascii="Calibri"/>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D2ADB" w14:textId="77777777" w:rsidR="00562FB1" w:rsidRDefault="00562FB1" w:rsidP="00CD091A">
      <w:r>
        <w:separator/>
      </w:r>
    </w:p>
  </w:footnote>
  <w:footnote w:type="continuationSeparator" w:id="0">
    <w:p w14:paraId="3F10BFD0" w14:textId="77777777" w:rsidR="00562FB1" w:rsidRDefault="00562FB1" w:rsidP="00CD091A">
      <w:r>
        <w:continuationSeparator/>
      </w:r>
    </w:p>
  </w:footnote>
  <w:footnote w:id="1">
    <w:p w14:paraId="48EE6C07"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{"citationID":"w1nnD567","properties":{"formattedCitation":"{\\rtf See, for instance: Ann M Eisenberg, \\uc0\\u8220{}Law on the Books vs. Law in Action: Under-Enforcement of Morocco\\uc0\\u8217{}s Reformed 2004 Family Law, the Moudawana\\uc0\\u8221{} (2011) 44 Cornell Int Law J 693 (proposing the use, not of judicial education, but of \\uc0\\u8220{}legal empowerment systems\\uc0\\u8221{} involving the use of paralegals and local advice centres to diminish the gap between the \\uc0\\u8220{}law on the books\\uc0\\u8221{} and the \\uc0\\u8220{}law in action\\uc0\\u8221{} in Moroccan family law).}","plainCitation":"See, for instance: Ann M Eisenberg, “Law on the Books vs. Law in Action: Under-Enforcement of Morocco’s Reformed 2004 Family Law, the Moudawana” (2011) 44 Cornell Int Law J 693 (proposing the use, not of judicial education, but of “legal empowerment systems” involving the use of paralegals and local advice centres to diminish the gap between the “law on the books” and the “law in action” in Moroccan family law)."},"citationItems":[{"id":1367,"uris":["http://zotero.org/users/35834/items/VVNXUZXT"],"uri":["http://zotero.org/users/35834/items/VVNXUZXT"],"itemData":{"id":1367,"type":"article-journal","title":"Law on the Books vs. Law in Action: Under-Enforcement of Morocco's Reformed 2004 Family Law, the Moudawana","container-title":"Cornell International Law Journal","page":"693","volume":"44","shortTitle":"Law on the Books vs. Law in Action","journalAbbreviation":"Cornell Int'l L.J.","author":[{"family":"Eisenberg","given":"Ann M."}],"issued":{"date-parts":[["2011"]]}},"prefix":"See, for instance: ","suffix":" (proposing the use, not of judicial education, but of \"legal empowerment systems\" involving the use of paralegals and local advice centres to diminish the gap between the \"law on the books\" and the \"law in action\" in Moroccan family law)"}],"schema":"https://github.com/citation-style-language/schema/raw/master/csl-citation.json"} </w:instrText>
      </w:r>
      <w:r>
        <w:fldChar w:fldCharType="separate"/>
      </w:r>
      <w:r w:rsidRPr="000D529D">
        <w:rPr>
          <w:rFonts w:ascii="Calibri" w:hAnsi="Calibri" w:cs="Times New Roman"/>
          <w:szCs w:val="24"/>
        </w:rPr>
        <w:t>See, for instance: Ann M Eisenberg, “Law on the Books vs. Law in Action: Under-Enforcement of Morocco’s Reformed 2004 Family Law, the Moudawana” (2011) 44 Cornell Int Law J 693 (proposing the use, not of judicial education, but of “legal empowerment systems” involving the use of paralegals and local advice centres to diminish the gap between the “law on the books” and the “law in action” in Moroccan family law).</w:t>
      </w:r>
      <w:r>
        <w:fldChar w:fldCharType="end"/>
      </w:r>
    </w:p>
  </w:footnote>
  <w:footnote w:id="2">
    <w:p w14:paraId="7DB32440"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{"citationID":"KUpSGtk1","properties":{"formattedCitation":"{\\rtf T Brettel Dawson, \\uc0\\u8220{}Judicial education on social context and gender in Canada: principles, process and lessons learned\\uc0\\u8221{} (2014) 21:3 Int J Leg Prof 259 at 269, 270; Katherine Swinton, \\uc0\\u8220{}Judicial Impartiality and Social Context Education\\uc0\\u8221{} in Thomas A Cromwell et al, eds, {\\i{}Hum Rights 21st Century Prospects Inst Process} (Montreal: Editions Themis, 1997) at 262; Livingston Armytage, \\uc0\\u8220{}Judicial Education on Equality\\uc0\\u8221{} (1995) 58:2 Mod Law Rev 160 at 163.}","plainCitation":"T Brettel Dawson, “Judicial education on social context and gender in Canada: principles, process and lessons learned” (2014) 21:3 Int J Leg Prof 259 at 269, 270; Katherine Swinton, “Judicial Impartiality and Social Context Education” in Thomas A Cromwell et al, eds, Hum Rights 21st Century Prospects Inst Process (Montreal: Editions Themis, 1997) at 262; Livingston Armytage, “Judicial Education on Equality” (1995) 58:2 Mod Law Rev 160 at 163."},"citationItems":[{"id":3406,"uris":["http://zotero.org/groups/902724/items/UUPQTDSM"],"uri":["http://zotero.org/groups/902724/items/UUPQTDSM"],"itemData":{"id":3406,"type":"article-journal","title":"Judicial education on social context and gender in Canada: principles, process and lessons learned","container-title":"International Journal of the Legal Profession","page":"259-280","volume":"21","issue":"3","source":"Taylor and Francis+NEJM","abstract":"Social context education is based on the believe that the law should address the expectations and needs of the community. In training judges regarding social context education programs, judges learn to assess evidence, apply legal principles and manage their courtrooms in a manner that considers the diverse circumstances of the communities they serve. \n\tThe National Justice Institute (NJI) initiated the Social Context Education Plan continues to provide judges with varying social context education courses, including seminars regarding gender. In addition to separate seminars, social context education is also integrated within other judicial education seminars. \n\tHowever, Dawson discusses several factors that are critical to the social context education programs. Judges must be the primary leaders of the social context education programs to show credibility of the program. Furthermore, it is of importance to obtain the support of Chief justices and Chief Judges at both the national and local levels. In addition, mentoring by the judiciary will ensure that there is a continuing process of social context education. It is also critical that the Three Pillars in designing and delivering the social context education programs must include judges, academics and community members. Social context education program planners must also ensure that the programs include social context principles that are relevant to the specific judges given the distinct traits of the communities that the judge serves. Information and data by researchers and community members may serve as beneficial to assisting judges in this respect. \n\tIn regards to the most effective teaching style for social context education, Dawson suggests engagement through discussions and reflections on their experiences and challenges of the social context issues in legal interpretation. Simply providing judges with information is not as effective as actually providing with judges with the opportunity to discuss their experiences. Thus, providing judges with an opportunity to reflect on the ways they may relate their awareness of social context issues in regards to decision-making, fact-finding, sentencing and other aspects of judicial interpretation may be effective in social context education programs. \n\tOf importance is providing national and local levels of social context judicial education programs. Due to the diversity within the provinces and communities of Canada, court-level social context education may also be effective. Within all of these levels, social context education should also be incorporated into the other judicial education courses, as social context issues arise within all forms of legal topics. \n\tFurthermore, it is recommended to apply a centralized institutional model of social context education programs that is connected with a judicial education body, rather than as a separate body. This will ensure that the program is connected to the judiciary and involves judges in designing and delivering the social context education programs.","DOI":"10.1080/09695958.2015.1029487","ISSN":"0969-5958","shortTitle":"Judicial education on social context and gender in Canada","author":[{"family":"Dawson","given":"T. Brettel"}],"issued":{"date-parts":[["2014",9,2]]}},"locator":"269, 270"},{"id":3503,"uris":["http://zotero.org/groups/902724/items/DC6GT5V3"],"uri":["http://zotero.org/groups/902724/items/DC6GT5V3"],"itemData":{"id":3503,"type":"chapter","title":"Judicial Impartiality and Social Context Education","container-title":"Human Rights in the 21st century: prospects, institutions and processes","publisher":"Editions Themis","publisher-place":"Montreal","event-place":"Montreal","abstract":"One objective of social context education includes increasing awareness of the characteristics, needs and values of marginalized communities faced by the judiciary. Social context education programs may present empirical evidence, presentations from academics and specialists, victims of domestic violence, or spiritual elders to discuss their traditions with the judiciary. While some may argue that aquiring this information challenges judicial impartiality, Katherine Swinton argues that this is far from the case, as they are critical manners to obtain information regarding society.\n    Three possible models of social context education exist, though the third approach is argued to be most effective. The first method is self-teaching, in which the social context education program provides materials for read as a means of furthering their understanding of social issues. This method is not seen to be as effective as the second model, which is the “integration” approach. In the integration approach, social context issues are integrated into other judicial education programs. As an example, this may take the form of a few classes that discuss domestic violence in a criminal law judicial education course.\n    However, the most effective model according to Swinton is the third model. The “immersion” approach is adopted by the Western Judicial Education Centre and Australia. This approach includes a series of “full immersion” courses on social context issues for judges, including gender. To ensure that the program would effectively communicate the material to judges, the program lasted between four to six days. The programs integrated dramatizations, videos, panels, speakers and discussions regarding social issues facing the genders. Furthermore, the discussions and training were led by specialized judges, along with non-judiciary specialized leaders. In 1991, the immersion model was reported to be “extraordinarily successful,” but there has not since been follow-up evaluations.\n    Given that the immersion model gives judges a significant amount of time to reflect on the social issues facing marginalized communities, this model is seen as the most effective as it allows the judges to reflect on issues and challenge underlying assumptions they make in interpreting the law.","ISBN":"978-2-89400-099-1","author":[{"family":"Swinton","given":"Katherine"}],"editor":[{"family":"Cromwell","given":"Thomas A"},{"family":"Pinard","given":"Danielle"},{"family":"Dumont","given":"Hélène"},{"family":"Institut canadien d'administration de la justice","given":""}],"issued":{"date-parts":[["1997"]]}},"locator":"262"},{"id":988,"uris":["http://zotero.org/users/35834/items/IBURPX8Q"],"uri":["http://zotero.org/users/35834/items/IBURPX8Q"],"itemData":{"id":988,"type":"article-journal","title":"Judicial Education on Equality","container-title":"The Modern Law Review","page":"160–186","volume":"58","issue":"2","source":"Wiley Online Library","DOI":"10.1111/j.1468-2230.1995.tb02002.x","ISSN":"1468-2230","language":"en","author":[{"family":"Armytage","given":"Livingston"}],"issued":{"date-parts":[["1995"]]}},"locator":"163"}],"schema":"https://github.com/citation-style-language/schema/raw/master/csl-citation.json"} </w:instrText>
      </w:r>
      <w:r>
        <w:fldChar w:fldCharType="separate"/>
      </w:r>
      <w:r w:rsidRPr="00E72EE2">
        <w:rPr>
          <w:rFonts w:ascii="Calibri" w:hAnsi="Calibri" w:cs="Times New Roman"/>
          <w:szCs w:val="24"/>
        </w:rPr>
        <w:t xml:space="preserve">T Brettel Dawson, “Judicial education on social context and gender in Canada: principles, process and lessons learned” (2014) 21:3 Int J Leg Prof 259 at 269, 270; Katherine Swinton, “Judicial Impartiality and Social Context Education” in Thomas A Cromwell et al, eds, </w:t>
      </w:r>
      <w:r w:rsidRPr="00E72EE2">
        <w:rPr>
          <w:rFonts w:ascii="Calibri" w:hAnsi="Calibri" w:cs="Times New Roman"/>
          <w:i/>
          <w:iCs/>
          <w:szCs w:val="24"/>
        </w:rPr>
        <w:t>Hum Rights 21st Century Prospects Inst Process</w:t>
      </w:r>
      <w:r w:rsidRPr="00E72EE2">
        <w:rPr>
          <w:rFonts w:ascii="Calibri" w:hAnsi="Calibri" w:cs="Times New Roman"/>
          <w:szCs w:val="24"/>
        </w:rPr>
        <w:t xml:space="preserve"> (Montreal: Editions Themis, 1997) at 262; Livingston Armytage, “Judicial Education on Equality” (1995) 58:2 Mod Law Rev 160 at 163.</w:t>
      </w:r>
      <w:r>
        <w:fldChar w:fldCharType="end"/>
      </w:r>
    </w:p>
  </w:footnote>
  <w:footnote w:id="3">
    <w:p w14:paraId="5C82B80A"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{"citationID":"ei0WZr7U","properties":{"formattedCitation":"{\\rtf T Brettel Dawson, \\uc0\\u8220{}Judicial Education: Pedagogy for a Change Symposium\\uc0\\u8221{} (2015) 2015 J Dispute Resolut 175 at 179, FN15.}","plainCitation":"T Brettel Dawson, “Judicial Education: Pedagogy for a Change Symposium” (2015) 2015 J Dispute Resolut 175 at 179, FN15."},"citationItems":[{"id":3478,"uris":["http://zotero.org/groups/902724/items/NDRSQD73"],"uri":["http://zotero.org/groups/902724/items/NDRSQD73"],"itemData":{"id":3478,"type":"article-journal","title":"Judicial Education: Pedagogy for a Change Symposium","container-title":"Journal of Dispute Resolution","page":"175-190","volume":"2015","source":"HeinOnline","abstract":"Since its inception in 1985, the National Judicial Institute (NJI) continues to be a resource to judges as a form of effective judicial education. Specifically, the NJI judicial education model has demonstrated that judicial education will be most effective when it is judge-led, judging focused, skills-based and experiential. Thus, learning by doing (as simulated in a learning setting) has become the preferred mode of judicial learning in NJI programming. However, judicial education requires educators to ensure that judges are also making several shifts in mindset. The author notes that there are four specific processes that are of utmost importance in judicial training, namely Experience, Reflection, Conceptualization, and Application.\nConsidering that judges operate within a  continually changing environment, judges should engage in continuous learning. Judicial education provides the opportunity for judges to enhance their knowledge, their skills, and their awareness of social conditions. Within judicial education programs, judges are able to share information, explore questions, and obtain feedback from peers, thereby learning from one another. Furthermore, judges engage with academics and community members to expose them to systemic injustices and socio-legal trends. As a result, this develops the capacity of judges to take into account a diversity of perspectives, thereby strengthening judicial reasoning and decision-making.","shortTitle":"Judicial Education","journalAbbreviation":"J. Disp. Resol.","language":"eng","author":[{"family":"Dawson","given":"T. Brettel"}],"issued":{"date-parts":[["2015"]]}},"locator":"179, FN15"}],"schema":"https://github.com/citation-style-language/schema/raw/master/csl-citation.json"} </w:instrText>
      </w:r>
      <w:r>
        <w:fldChar w:fldCharType="separate"/>
      </w:r>
      <w:r w:rsidRPr="008918F7">
        <w:rPr>
          <w:rFonts w:ascii="Calibri" w:hAnsi="Calibri" w:cs="Times New Roman"/>
          <w:szCs w:val="24"/>
        </w:rPr>
        <w:t>T Brettel Dawson, “Judicial Education: Pedagogy for a Change Symposium” (2015) 2015 J Dispute Resolut 175 at 179, FN15.</w:t>
      </w:r>
      <w:r>
        <w:fldChar w:fldCharType="end"/>
      </w:r>
    </w:p>
  </w:footnote>
  <w:footnote w:id="4">
    <w:p w14:paraId="1DDB3D2A"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{"citationID":"YZexhnvZ","properties":{"formattedCitation":"{\\rtf Dawson, {\\i{}supra} note 2 at 269.}","plainCitation":"Dawson, supra note 2 at 269."},"citationItems":[{"id":3406,"uris":["http://zotero.org/groups/902724/items/UUPQTDSM"],"uri":["http://zotero.org/groups/902724/items/UUPQTDSM"],"itemData":{"id":3406,"type":"article-journal","title":"Judicial education on social context and gender in Canada: principles, process and lessons learned","container-title":"International Journal of the Legal Profession","page":"259-280","volume":"21","issue":"3","source":"Taylor and Francis+NEJM","abstract":"Social context education is based on the believe that the law should address the expectations and needs of the community. In training judges regarding social context education programs, judges learn to assess evidence, apply legal principles and manage their courtrooms in a manner that considers the diverse circumstances of the communities they serve. \n\tThe National Justice Institute (NJI) initiated the Social Context Education Plan continues to provide judges with varying social context education courses, including seminars regarding gender. In addition to separate seminars, social context education is also integrated within other judicial education seminars. \n\tHowever, Dawson discusses several factors that are critical to the social context education programs. Judges must be the primary leaders of the social context education programs to show credibility of the program. Furthermore, it is of importance to obtain the support of Chief justices and Chief Judges at both the national and local levels. In addition, mentoring by the judiciary will ensure that there is a continuing process of social context education. It is also critical that the Three Pillars in designing and delivering the social context education programs must include judges, academics and community members. Social context education program planners must also ensure that the programs include social context principles that are relevant to the specific judges given the distinct traits of the communities that the judge serves. Information and data by researchers and community members may serve as beneficial to assisting judges in this respect. \n\tIn regards to the most effective teaching style for social context education, Dawson suggests engagement through discussions and reflections on their experiences and challenges of the social context issues in legal interpretation. Simply providing judges with information is not as effective as actually providing with judges with the opportunity to discuss their experiences. Thus, providing judges with an opportunity to reflect on the ways they may relate their awareness of social context issues in regards to decision-making, fact-finding, sentencing and other aspects of judicial interpretation may be effective in social context education programs. \n\tOf importance is providing national and local levels of social context judicial education programs. Due to the diversity within the provinces and communities of Canada, court-level social context education may also be effective. Within all of these levels, social context education should also be incorporated into the other judicial education courses, as social context issues arise within all forms of legal topics. \n\tFurthermore, it is recommended to apply a centralized institutional model of social context education programs that is connected with a judicial education body, rather than as a separate body. This will ensure that the program is connected to the judiciary and involves judges in designing and delivering the social context education programs.","DOI":"10.1080/09695958.2015.1029487","ISSN":"0969-5958","shortTitle":"Judicial education on social context and gender in Canada","author":[{"family":"Dawson","given":"T. Brettel"}],"issued":{"date-parts":[["2014",9,2]]}},"locator":"269"}],"schema":"https://github.com/citation-style-language/schema/raw/master/csl-citation.json"} </w:instrText>
      </w:r>
      <w:r>
        <w:fldChar w:fldCharType="separate"/>
      </w:r>
      <w:r w:rsidRPr="000D529D">
        <w:rPr>
          <w:rFonts w:ascii="Calibri" w:hAnsi="Calibri" w:cs="Times New Roman"/>
          <w:szCs w:val="24"/>
        </w:rPr>
        <w:t xml:space="preserve">Dawson, </w:t>
      </w:r>
      <w:r w:rsidRPr="000D529D">
        <w:rPr>
          <w:rFonts w:ascii="Calibri" w:hAnsi="Calibri" w:cs="Times New Roman"/>
          <w:i/>
          <w:iCs/>
          <w:szCs w:val="24"/>
        </w:rPr>
        <w:t>supra</w:t>
      </w:r>
      <w:r w:rsidRPr="000D529D">
        <w:rPr>
          <w:rFonts w:ascii="Calibri" w:hAnsi="Calibri" w:cs="Times New Roman"/>
          <w:szCs w:val="24"/>
        </w:rPr>
        <w:t xml:space="preserve"> note 2 at 269.</w:t>
      </w:r>
      <w:r>
        <w:fldChar w:fldCharType="end"/>
      </w:r>
    </w:p>
  </w:footnote>
  <w:footnote w:id="5">
    <w:p w14:paraId="7EC62C73"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{"citationID":"gWNlSnpc","properties":{"formattedCitation":"{\\rtf {\\i{}Ibid} at 262.}","plainCitation":"Ibid at 262."},"citationItems":[{"id":3406,"uris":["http://zotero.org/groups/902724/items/UUPQTDSM"],"uri":["http://zotero.org/groups/902724/items/UUPQTDSM"],"itemData":{"id":3406,"type":"article-journal","title":"Judicial education on social context and gender in Canada: principles, process and lessons learned","container-title":"International Journal of the Legal Profession","page":"259-280","volume":"21","issue":"3","source":"Taylor and Francis+NEJM","abstract":"Social context education is based on the believe that the law should address the expectations and needs of the community. In training judges regarding social context education programs, judges learn to assess evidence, apply legal principles and manage their courtrooms in a manner that considers the diverse circumstances of the communities they serve. \n\tThe National Justice Institute (NJI) initiated the Social Context Education Plan continues to provide judges with varying social context education courses, including seminars regarding gender. In addition to separate seminars, social context education is also integrated within other judicial education seminars. \n\tHowever, Dawson discusses several factors that are critical to the social context education programs. Judges must be the primary leaders of the social context education programs to show credibility of the program. Furthermore, it is of importance to obtain the support of Chief justices and Chief Judges at both the national and local levels. In addition, mentoring by the judiciary will ensure that there is a continuing process of social context education. It is also critical that the Three Pillars in designing and delivering the social context education programs must include judges, academics and community members. Social context education program planners must also ensure that the programs include social context principles that are relevant to the specific judges given the distinct traits of the communities that the judge serves. Information and data by researchers and community members may serve as beneficial to assisting judges in this respect. \n\tIn regards to the most effective teaching style for social context education, Dawson suggests engagement through discussions and reflections on their experiences and challenges of the social context issues in legal interpretation. Simply providing judges with information is not as effective as actually providing with judges with the opportunity to discuss their experiences. Thus, providing judges with an opportunity to reflect on the ways they may relate their awareness of social context issues in regards to decision-making, fact-finding, sentencing and other aspects of judicial interpretation may be effective in social context education programs. \n\tOf importance is providing national and local levels of social context judicial education programs. Due to the diversity within the provinces and communities of Canada, court-level social context education may also be effective. Within all of these levels, social context education should also be incorporated into the other judicial education courses, as social context issues arise within all forms of legal topics. \n\tFurthermore, it is recommended to apply a centralized institutional model of social context education programs that is connected with a judicial education body, rather than as a separate body. This will ensure that the program is connected to the judiciary and involves judges in designing and delivering the social context education programs.","DOI":"10.1080/09695958.2015.1029487","ISSN":"0969-5958","shortTitle":"Judicial education on social context and gender in Canada","author":[{"family":"Dawson","given":"T. Brettel"}],"issued":{"date-parts":[["2014",9,2]]}},"locator":"262"}],"schema":"https://github.com/citation-style-language/schema/raw/master/csl-citation.json"} </w:instrText>
      </w:r>
      <w:r>
        <w:fldChar w:fldCharType="separate"/>
      </w:r>
      <w:r w:rsidRPr="00AB10B4">
        <w:rPr>
          <w:rFonts w:ascii="Calibri" w:hAnsi="Calibri" w:cs="Times New Roman"/>
          <w:i/>
          <w:iCs/>
          <w:szCs w:val="24"/>
        </w:rPr>
        <w:t>Ibid</w:t>
      </w:r>
      <w:r w:rsidRPr="00AB10B4">
        <w:rPr>
          <w:rFonts w:ascii="Calibri" w:hAnsi="Calibri" w:cs="Times New Roman"/>
          <w:szCs w:val="24"/>
        </w:rPr>
        <w:t xml:space="preserve"> at 262.</w:t>
      </w:r>
      <w:r>
        <w:fldChar w:fldCharType="end"/>
      </w:r>
    </w:p>
  </w:footnote>
  <w:footnote w:id="6">
    <w:p w14:paraId="13A440D3" w14:textId="77777777" w:rsidR="00562FB1" w:rsidRDefault="00562FB1" w:rsidP="00CD091A">
      <w:r>
        <w:rPr>
          <w:rStyle w:val="FootnoteReference"/>
        </w:rPr>
        <w:footnoteRef/>
      </w:r>
      <w:r>
        <w:t xml:space="preserve"> </w:t>
      </w:r>
      <w:r>
        <w:fldChar w:fldCharType="begin"/>
      </w:r>
      <w:r>
        <w:instrText xml:space="preserve"> ADDIN ZOTERO_ITEM CSL_CITATION {"citationID":"rfg1kWdX","properties":{"formattedCitation":"{\\rtf Donna Hackett &amp; Richard F Devlin, \\uc0\\u8220{}Constitutionalized Law Reform: Equality Rights and Social Context Education for Judges\\uc0\\u8221{} (2005) 4 J Law Equal 157; Richard F Devlin, \\uc0\\u8220{}Jurisprudence for Judges: Why Legal Theory Matters for Social Contect Education\\uc0\\u8221{} (2001) 27 Queens Law J 161; Hackett &amp; Devlin, {\\i{}supra} note; Lynn Smith, \\uc0\\u8220{}Judicial Education on Context Special Issue: Symposium Honouring the Late Mr. Justice Kenneth Lysyk: Kenneth Lysyk as a Judge: Judicial Education\\uc0\\u8221{} (2005) 38 UBC Law Rev 569.}","plainCitation":"Donna Hackett &amp; Richard F Devlin, “Constitutionalized Law Reform: Equality Rights and Social Context Education for Judges” (2005) 4 J Law Equal 157; Richard F Devlin, “Jurisprudence for Judges: Why Legal Theory Matters for Social Contect Education” (2001) 27 Queens Law J 161; Hackett &amp; Devlin, supra note; Lynn Smith, “Judicial Education on Context Special Issue: Symposium Honouring the Late Mr. Justice Kenneth Lysyk: Kenneth Lysyk as a Judge: Judicial Education” (2005) 38 UBC Law Rev 569."},"citationItems":[{"id":3403,"uris":["http://zotero.org/groups/902724/items/PSCKP4P7"],"uri":["http://zotero.org/groups/902724/items/PSCKP4P7"],"itemData":{"id":3403,"type":"article-journal","title":"Constitutionalized Law Reform: Equality Rights and Social Context Education for Judges","container-title":"Journal of Law &amp; Equality","page":"157-202","volume":"4","source":"HeinOnline","abstract":"As stated by Chief Justice Beverley McLachlin of the Supreme Court of Canada, judicial education regarding the discrimination and inequality faced by marginalized groups within a given society, judges may be able to work towards greater equality within the law through their decisions. It is likely that judges perception of the evidence or law is through a different perspective than parties of cases. Through a greater understanding of the experiences faced by these groups, as well as developing an understanding of the manners in which legal decisions affect different groups differently may provide judges with a greater understanding of the need towards reformed judicial decision making. This program towards judging in order to give greater effect to equality rights is the goal of social context education for judges.\n\tSocial Context Education in Canada at a national level was introduced in 1990 through the Canadian Judicial Centre, now known as the National Judicial Institute. Significantly, the social context education included a gender equality program that provided judges with videos, and individual and group study cases as a means of implementing gender equality within judicial decisions. For greater effect, all new federal judges were provided with the program materials. \n\t\n\tIn 1994, the National Justice Institute began the planning of social context education programs for almost all Canadian judges. From 1996 to 2000, Phase I of the Social Context Education Program (SCEP) was initiated along with assistance from the National Advisory Committee (which includes judges), and community and academic experts. Several aspects of phase I were successful, notably the intensive and more substantive training of the judges. However, it was realized that effective social context education requires ongoing education, as well as an increased approach at local levels to handle diversity within communities.\n\tIn Phase II of the Social Context Education Program,  there was a greater focus on ongoing education, as well as greater implementation of the education within judicial education. Ultimately, the program included the implementation of the Judicial Faculty and Program Development Course, as well as program development at the national level, which would then be adopted for local education committees given the regional diversities. \n\tSpecifically, the Judicial Faculty and Program Development Course was a five-stage program for groups of judges. The first stage of the course trained judges regarding the experiences of marginalized groups and their rights. Stage two required individual or groups of judges to design social context education programs by assessing the needs of communities. The judges used the Intersession Project Handbook and the SCEP’s Ten Principles of Social Context Education to create these projects, as the handbook provides the resources necessary to create a social context education program. Two to three months later, the groups of judges presented their projects and provided feedback regarding each others programs. Upon adjusting any problems within their programs, the judges were to reflect on their experiences. \n\tIt is of importance to note that international judges have also adopted the Intersession Project Handbook as well as the SCEP’s Ten Principles of Social Context Education as part of their judicial training, including Philippines and South Africa. Although Canada and Philippines may have some contextual differences, the Ten Principles were applied in the projects of both nations in different manners according to the different social and cultural contexts of the nation. The principles and their applications will be examined below.\n\tIn the Philippines, the Social Context Education Project was adapted through the Philippines Project in regards to the sex trade of women and children in Angeles City. One of the goals of the project was to train judges on several occasions in regards to challenging the persistence of the sex trade. To adapt the Philippines Project according to the Canadian social context education programs, the SCEP travelled to the Philippines to discuss the Canadian legal system, social context education in Canada, as well as examining the comparisons and differences between the Canadian and Philippines experience of gender inequalities. Notably, the authors argue that in future attempts, they found it of significance that the SCEP should integrate the Philippines context into their training of the Canadian social context education program. \n\tFollowing this program, the Philippines Project was implemented at a national and local level within the Philippines. The effect has been an increase in trained judges that have an increased understanding of women and children in the sex trade, their needs, and how their needs may be addressed.\n\nThe SCEP’s Ten Principles of Social Context Education\nJudicial Leadership\n\tPrinciple: “The ongoing commitment of Chief Justices and Chief Judges, education committees and judicial leaders is critical for the development and delivery of successful social context education. This support not only validates the importance of this work, but it also encourages judges to become involved and engaged in social context programmes, which in turn drives sustainability.”\n\tIn Canada, the social context education program began from a top-bottom approach, in that it was disseminated from a national level to the provinces. On the other hand, the Philippines approached the program through a bottom-up approach, in that the program began t the trial level, and expanded to the national level. However, both approaches demonstrated the significant importance of involving judges to promote the program and integrate judges into the curriculum of the program to demonstrate the importance of the program. \n\n2. Local Input\n\tPrinciple: “While all equality and social context issues are important, their presentation and relevance in any given court at any point in time varies based upon the dynamics of the population the court serves, its jurisdiction (family, civil, criminal, trial, or appellate), previous education initiatives, and recent law reform. Local nuances and practices can also affect the content, context and relevance of these programmes, which makes the use of national modules less effective unless they are locally adapted. To be successful, social context education programmes must include local issues, priorities, perspectives and resources from conceptualization through to delivery.”\n\t\n3. The Three Pillars of Social Context Judicial Education\n\tPrinciple: “Social context education is generally about what judges do not know, or have not experienced. Consequently, experts in issues of diversity, disadvantage and difference must be relied upon to identify these issues and help devleop, design and deliver social context programmes. This expertise is best found in well-respected community leaders (pillar one) with direct experience with these issues. Legal academics (pillar two) can then help to translate these experiences into relevant legal concepts and issues. Finally, judges (pillar three) can mould and focus these experiences and issues into the act of judging. In this interactive way, the Three Pillars of social context education provide the best foundation for structuring the development, design and delivery of successful integrated social context curriculum and programming. \n\t\n4. Needs Assessment and Advice\n\tPrinciple: “The education needs of judges must be identified in consultation not only with judges, but also with those affected by the work of judges, particularly those in situations of disadvantage and those with diverse backgrounds and experiences. In this regard, the Three Pillars are important in the initial needs assessment process in order to ensure that relevant social context experiences and related legal issues are recognized and included in curriculum and programme development from the beginning.” \n\n5. Focus on the Judicial Role and Tasks\n\tPrinciple: “In order for equality and social context issues to be understood as relevant and important for judicial learning, their presentation must be connected to legal and factual issues faced by judges on a daily basis. There are many access to justice issues experienced by disadvantaged groups: however, not all of these issues relate to the role of judges. The interaction of the Three Pillars can best identify and focus the programme content on the judicial task.”\n\tUltimately, the Canadian exercises provided through the social context education program for judges in the Philippines was effective although there were some social differences. Due to the relationship between the task of the judges in challenging the structural issues facing the sex trade in their nation, in addition with similarities in social context issues, the Canadian-based assessment video exercise was effective for judges in the Philippines. It is of importance that the resources presented and the programs that are adapted for communities and nations should connect the social context issues in order to demonstrate relevance for the judiciary. \n\n6. Trained Planning Committee and Faculty\n\tPrinciple: “Social context education programmes are most effective when they are developed, designed and delivered by individuals who are skilled in equality and social context issues, the pedagogy of adult learning, and effective programme design. Optimally, a pre-programme session to train the programme planners and faculty about these issues is the best way to ensure that the programme objectives are coordinated throughout the design and delivery process. Again, the participation of the Three Pillars in this training is essential.”\n\tAt this level, it is critical that members of the local judiciary where the program takes place is involved in the training of the judiciary.\n\n7. Effective Programme Design\n\tPrinciple: “Social context education is difficult because it is not traditional and therefore requires skilful balancing of social and legal issues and content. Social context programmes that are designed to both address the experience of disadvantage and, at the same time, respect the unique characteristics and responsibilities of judges are most effective.”\n\tIt is important that at this step, objectives are set throughout the program and the individual classes for the judges in order for the classes to ensure that the required content is covered, and as a means to value the success of the programs in the future. \n\n8. Adult Learning Principles\n\tPrinciple: “The use of adult learning techniques enhance a judge’s learning experience. Practical, hands-on, interactive sessions designed to capitalize on judges’ knowledge and experience and facilitatee their understanding of the complexity of the issues and principles involved, and how to apply them to their work are essential.”\n\tBy adult learning for the judiciary, this includes problem-based exercises in which they may apply their experiences with other members of the judiciary in the social context education program. Ultimately, the goal is to implement activities with greater discussions in groups, problem-solving activities and workshops. \n\n9. Evaluation and Feedback\n\tPrinciple: “Constant feedback during a programme from the three-pillared planners and faculty is important to making on-site improvements to the quality and relevance of a programme based upon the needs of a particular audience. After the completion of a programme, evaluation and feedback from not only the judicial audience, but also from the three-pillared advisors, planners and faculty, is valuable for improving and developing future social context programming.” \n\tIn order to evolve the social context education program, constant evaluation and recommendations are required from participants. However, the problem is that this stage has currently revealed the subjective perceptions of judges regarding the program. This does not demonstrate the actual justice that results from the application of the concepts learned in the social context education programs. This must be addressed in future research.\n\n10. Integration and Sustainability\n\tPrinciple: “Social context and equality issues need to be identified and integrated throughout the curriculum, in all forms of judicial education, and at all stages of its development, design and delivery. Structuring this input by means of institutionalizing The Three Pillars at each planning stage is the most effective way of achieving integration and sustainability.”\n\nConclusion\n\tThus, this article argues that by implementing the above Ten SCE Principles and the Three Pillars into social context education programs for judges, this will ensure that social context education is implemented effectively and improves access to justice not only in Canada, but at an international level.","shortTitle":"Constitutionalized Law Reform","journalAbbreviation":"J.L. &amp; Equal.","language":"eng","author":[{"family":"Hackett","given":"Donna"},{"family":"Devlin","given":"Richard F."}],"issued":{"date-parts":[["2005"]]}},"label":"page"},{"id":3407,"uris":["http://zotero.org/groups/902724/items/UR546UZD"],"uri":["http://zotero.org/groups/902724/items/UR546UZD"],"itemData":{"id":3407,"type":"article-journal","title":"Jurisprudence for Judges: Why Legal Theory Matters for Social Contect Education","container-title":"Queen's Law Journal","page":"161-206","volume":"27","source":"HeinOnline","abstract":"Social context education seeks to increase awareness of judges to societal issues that affect legal parties. The goal is to increase the perspective of judges in fulfilling their legal responsibility given their awareness of the social, economic, cultural, and political factors that impact legal parties. Social context education analyzes underlying values within the judiciary, the impacts of these underlying values, and attempts to challenge these biased values with the increased awareness of societal factors.\n\tIn 1994, the National Judicial Institute initiated social context education, in which judges are to attend programs in at least one of the following areas: gender equity, racial equity and Aboriginal justice. \n\n(i) Examination of Social Context Education\n\tBy introducing judges to new legal discourses, socio-legal theories, and a different understanding of the social role of the law, this may introduce the judiciary to different perspectives in analyzing and creating law through interpretation. Furthermore, introducing judges to diverse socio-legal discourses and awareness of the societal factors facing parties, this may help judges in making challenging decisions for diverse groups. By bringing awareness to diverse legal theories of the marginalized groups in society, judges may develop self-awareness of their underlying assumptions of those groups, and develop judicial strategies to effectively assist the diverse groups in courtrooms. \n\n(ii) Judicial Functioning and Social Importance\n\tIn the contemporary context, diverse theories exist regarding social context education. The liberal theorists recognize that the function of law is to provide assistive mechanisms for social interaction. On the other hand, postmodern theorists seek to uncover the perspectives of minorities that have been marginalized by majority groups in order to demonstrate the differences of diverse groups. Similar to natural law, new realism argues that law reinforces dominant social values within the society and ensures the power of the majority groups. Thus, this perspective argues that the judiciary reflects the perspective of the majority given that the judiciary reflects similar values, thus reinforcing disadvantage for marginalized populations.\n\tThrough these perpectives, social context education brings awareness to the reinforcement of the majority values through their judicial decisions, and allows judges to develop new decision-making strategies that better reflect minority values. \n\tOf particular interest is the feminist perspective of new realist theory. Feminist theorists argue that the judiciary has traditionally, and in the present day, has been dominated by men, and excluded the perspective of women in the legal system. Feminists bring awareness to discrimination faced by women systematically and within society as a whole. Rather, they seek to challenge the patriarchal values and assumptions within the legal system, notably within the male-dominated judiciary. \n\tGiven the limitations of gender-neutral perspective in assessing the patriarchal legal system, feminists have focused on integrative approaches that moves away from assessing equality amongst the genders. Rather, integrative feminism argues to assess the differences between the genders, and based upon these differences, work towards significant social restructuring. Given the differences women face within society, it may be more effective to treat women differently within the legal realm to effectively achieve equality for women. \n\t\n(iv) Conclusion\n\tGiven the unequal status of women in society, Devlin argues that in adopting social context education to train judges regarding the reality of the social context affecting the lives of diverse women, it is of importance to discuss the unequal status of women. By learning the diverse barriers faced by women, this may increase self-awareness of their projection of patriarchal values through decision-making. By training judges regarding the marginalized status of women, the judiciary may be able to adopt effective strategies to provide efficient decision making for women in a different manner than men, but with the end goal of creating greater equality between the genders.","shortTitle":"Jurisprudence for Judges","journalAbbreviation":"Queen's L.J.","language":"eng","author":[{"family":"Devlin","given":"Richard F."}],"issued":{"date-parts":[["2001"]],"season":"2002"}}},{"id":3403,"uris":["http://zotero.org/groups/902724/items/PSCKP4P7"],"uri":["http://zotero.org/groups/902724/items/PSCKP4P7"],"itemData":{"id":3403,"type":"article-journal","title":"Constitutionalized Law Reform: Equality Rights and Social Context Education for Judges","container-title":"Journal of Law &amp; Equality","page":"157-202","volume":"4","source":"HeinOnline","abstract":"As stated by Chief Justice Beverley McLachlin of the Supreme Court of Canada, judicial education regarding the discrimination and inequality faced by marginalized groups within a given society, judges may be able to work towards greater equality within the law through their decisions. It is likely that judges perception of the evidence or law is through a different perspective than parties of cases. Through a greater understanding of the experiences faced by these groups, as well as developing an understanding of the manners in which legal decisions affect different groups differently may provide judges with a greater understanding of the need towards reformed judicial decision making. This program towards judging in order to give greater effect to equality rights is the goal of social context education for judges.\n\tSocial Context Education in Canada at a national level was introduced in 1990 through the Canadian Judicial Centre, now known as the National Judicial Institute. Significantly, the social context education included a gender equality program that provided judges with videos, and individual and group study cases as a means of implementing gender equality within judicial decisions. For greater effect, all new federal judges were provided with the program materials. \n\t\n\tIn 1994, the National Justice Institute began the planning of social context education programs for almost all Canadian judges. From 1996 to 2000, Phase I of the Social Context Education Program (SCEP) was initiated along with assistance from the National Advisory Committee (which includes judges), and community and academic experts. Several aspects of phase I were successful, notably the intensive and more substantive training of the judges. However, it was realized that effective social context education requires ongoing education, as well as an increased approach at local levels to handle diversity within communities.\n\tIn Phase II of the Social Context Education Program,  there was a greater focus on ongoing education, as well as greater implementation of the education within judicial education. Ultimately, the program included the implementation of the Judicial Faculty and Program Development Course, as well as program development at the national level, which would then be adopted for local education committees given the regional diversities. \n\tSpecifically, the Judicial Faculty and Program Development Course was a five-stage program for groups of judges. The first stage of the course trained judges regarding the experiences of marginalized groups and their rights. Stage two required individual or groups of judges to design social context education programs by assessing the needs of communities. The judges used the Intersession Project Handbook and the SCEP’s Ten Principles of Social Context Education to create these projects, as the handbook provides the resources necessary to create a social context education program. Two to three months later, the groups of judges presented their projects and provided feedback regarding each others programs. Upon adjusting any problems within their programs, the judges were to reflect on their experiences. \n\tIt is of importance to note that international judges have also adopted the Intersession Project Handbook as well as the SCEP’s Ten Principles of Social Context Education as part of their judicial training, including Philippines and South Africa. Although Canada and Philippines may have some contextual differences, the Ten Principles were applied in the projects of both nations in different manners according to the different social and cultural contexts of the nation. The principles and their applications will be examined below.\n\tIn the Philippines, the Social Context Education Project was adapted through the Philippines Project in regards to the sex trade of women and children in Angeles City. One of the goals of the project was to train judges on several occasions in regards to challenging the persistence of the sex trade. To adapt the Philippines Project according to the Canadian social context education programs, the SCEP travelled to the Philippines to discuss the Canadian legal system, social context education in Canada, as well as examining the comparisons and differences between the Canadian and Philippines experience of gender inequalities. Notably, the authors argue that in future attempts, they found it of significance that the SCEP should integrate the Philippines context into their training of the Canadian social context education program. \n\tFollowing this program, the Philippines Project was implemented at a national and local level within the Philippines. The effect has been an increase in trained judges that have an increased understanding of women and children in the sex trade, their needs, and how their needs may be addressed.\n\nThe SCEP’s Ten Principles of Social Context Education\nJudicial Leadership\n\tPrinciple: “The ongoing commitment of Chief Justices and Chief Judges, education committees and judicial leaders is critical for the development and delivery of successful social context education. This support not only validates the importance of this work, but it also encourages judges to become involved and engaged in social context programmes, which in turn drives sustainability.”\n\tIn Canada, the social context education program began from a top-bottom approach, in that it was disseminated from a national level to the provinces. On the other hand, the Philippines approached the program through a bottom-up approach, in that the program began t the trial level, and expanded to the national level. However, both approaches demonstrated the significant importance of involving judges to promote the program and integrate judges into the curriculum of the program to demonstrate the importance of the program. \n\n2. Local Input\n\tPrinciple: “While all equality and social context issues are important, their presentation and relevance in any given court at any point in time varies based upon the dynamics of the population the court serves, its jurisdiction (family, civil, criminal, trial, or appellate), previous education initiatives, and recent law reform. Local nuances and practices can also affect the content, context and relevance of these programmes, which makes the use of national modules less effective unless they are locally adapted. To be successful, social context education programmes must include local issues, priorities, perspectives and resources from conceptualization through to delivery.”\n\t\n3. The Three Pillars of Social Context Judicial Education\n\tPrinciple: “Social context education is generally about what judges do not know, or have not experienced. Consequently, experts in issues of diversity, disadvantage and difference must be relied upon to identify these issues and help devleop, design and deliver social context programmes. This expertise is best found in well-respected community leaders (pillar one) with direct experience with these issues. Legal academics (pillar two) can then help to translate these experiences into relevant legal concepts and issues. Finally, judges (pillar three) can mould and focus these experiences and issues into the act of judging. In this interactive way, the Three Pillars of social context education provide the best foundation for structuring the development, design and delivery of successful integrated social context curriculum and programming. \n\t\n4. Needs Assessment and Advice\n\tPrinciple: “The education needs of judges must be identified in consultation not only with judges, but also with those affected by the work of judges, particularly those in situations of disadvantage and those with diverse backgrounds and experiences. In this regard, the Three Pillars are important in the initial needs assessment process in order to ensure that relevant social context experiences and related legal issues are recognized and included in curriculum and programme development from the beginning.” \n\n5. Focus on the Judicial Role and Tasks\n\tPrinciple: “In order for equality and social context issues to be understood as relevant and important for judicial learning, their presentation must be connected to legal and factual issues faced by judges on a daily basis. There are many access to justice issues experienced by disadvantaged groups: however, not all of these issues relate to the role of judges. The interaction of the Three Pillars can best identify and focus the programme content on the judicial task.”\n\tUltimately, the Canadian exercises provided through the social context education program for judges in the Philippines was effective although there were some social differences. Due to the relationship between the task of the judges in challenging the structural issues facing the sex trade in their nation, in addition with similarities in social context issues, the Canadian-based assessment video exercise was effective for judges in the Philippines. It is of importance that the resources presented and the programs that are adapted for communities and nations should connect the social context issues in order to demonstrate relevance for the judiciary. \n\n6. Trained Planning Committee and Faculty\n\tPrinciple: “Social context education programmes are most effective when they are developed, designed and delivered by individuals who are skilled in equality and social context issues, the pedagogy of adult learning, and effective programme design. Optimally, a pre-programme session to train the programme planners and faculty about these issues is the best way to ensure that the programme objectives are coordinated throughout the design and delivery process. Again, the participation of the Three Pillars in this training is essential.”\n\tAt this level, it is critical that members of the local judiciary where the program takes place is involved in the training of the judiciary.\n\n7. Effective Programme Design\n\tPrinciple: “Social context education is difficult because it is not traditional and therefore requires skilful balancing of social and legal issues and content. Social context programmes that are designed to both address the experience of disadvantage and, at the same time, respect the unique characteristics and responsibilities of judges are most effective.”\n\tIt is important that at this step, objectives are set throughout the program and the individual classes for the judges in order for the classes to ensure that the required content is covered, and as a means to value the success of the programs in the future. \n\n8. Adult Learning Principles\n\tPrinciple: “The use of adult learning techniques enhance a judge’s learning experience. Practical, hands-on, interactive sessions designed to capitalize on judges’ knowledge and experience and facilitatee their understanding of the complexity of the issues and principles involved, and how to apply them to their work are essential.”\n\tBy adult learning for the judiciary, this includes problem-based exercises in which they may apply their experiences with other members of the judiciary in the social context education program. Ultimately, the goal is to implement activities with greater discussions in groups, problem-solving activities and workshops. \n\n9. Evaluation and Feedback\n\tPrinciple: “Constant feedback during a programme from the three-pillared planners and faculty is important to making on-site improvements to the quality and relevance of a programme based upon the needs of a particular audience. After the completion of a programme, evaluation and feedback from not only the judicial audience, but also from the three-pillared advisors, planners and faculty, is valuable for improving and developing future social context programming.” \n\tIn order to evolve the social context education program, constant evaluation and recommendations are required from participants. However, the problem is that this stage has currently revealed the subjective perceptions of judges regarding the program. This does not demonstrate the actual justice that results from the application of the concepts learned in the social context education programs. This must be addressed in future research.\n\n10. Integration and Sustainability\n\tPrinciple: “Social context and equality issues need to be identified and integrated throughout the curriculum, in all forms of judicial education, and at all stages of its development, design and delivery. Structuring this input by means of institutionalizing The Three Pillars at each planning stage is the most effective way of achieving integration and sustainability.”\n\nConclusion\n\tThus, this article argues that by implementing the above Ten SCE Principles and the Three Pillars into social context education programs for judges, this will ensure that social context education is implemented effectively and improves access to justice not only in Canada, but at an international level.","shortTitle":"Constitutionalized Law Reform","journalAbbreviation":"J.L. &amp; Equal.","language":"eng","author":[{"family":"Hackett","given":"Donna"},{"family":"Devlin","given":"Richard F."}],"issued":{"date-parts":[["2005"]]}}},{"id":3391,"uris":["http://zotero.org/groups/902724/items/7A4SHA8R"],"uri":["http://zotero.org/groups/902724/items/7A4SHA8R"],"itemData":{"id":3391,"type":"article-journal","title":"Judicial Education on Context Special Issue: Symposium Honouring the Late Mr. Justice Kenneth Lysyk: Kenneth Lysyk as a Judge: Judicial Education","container-title":"U.B.C. Law Review","page":"569-582","volume":"38","source":"HeinOnline","abstract":"Social context education assists judges in ensuring that their decisions are just given the circumstances of the parties involved. Traditionally, it has been argued that the judiciary is impartial, but in assessing judicial independance, it has been revealed that training the judiciary regarding the social contexts affecting marginalized groups will increase the ability of judges to ensure impartiality as they will effectively address the circumstances affecting parties. As stated by Benjamin Cardozo, judges, as human beings, have their own acquired beliefs and perspectives which may be biased towards certain views. This must be brought to light through social context education, and provide judges with training regarding the different social contexts faced by diverse groups in order to make decisions that adequately reflect the lived realities of these groups. This is of importance, given that the judges must make decisions by assessing the social context of parties to determine the reasons why the party acted in the ways that they did prior to the legal proceedings. In different parts of the world, awareness of social context issues facing women may not be high, and they may hold certain perceptions that are not aware of the social contexts.\n\tUltimately, social context education allows judges to question their own perceptions, bring awareness of their own social understanding, and change their perceptions to make fairer decisions for marginalized populations given their unique circumstances. This is of importance to achieving substantive equality for marginalized groups that face systemic disadvantage within communities. Given the role of the judiciary within society, it is of importance for the judiciary to be able to adequately represent the population in terms of gender as one of the many marginalized populations of society. The patriarchal nature of society, including the judiciary requires social context education in order to challenge embedded bias within the judiciary to ensure that the goal of substantive equality is obtained for marginalized groups.\n\tIt is important to note that requiring judges to obtain additional social education training does not challenge the principle of judicial independance. Judges require perspectives and understandings of the social realm in making decisions, and adding to this knowledge if they lack awareness of the unique circumstances of some groups is argued to not serve as a challenge to judicial independence. Impartiality as a judge requires the judge to have awareness of his experience, as well as understand other points of view in order to make a truly fair and impartial decision for the unique parties. The awareness may then be applied when assessing facts of cases in light of the social context.","shortTitle":"Judicial Education on Context Special Issue","journalAbbreviation":"U.B.C. L. Rev.","language":"eng","author":[{"family":"Smith","given":"Lynn"}],"issued":{"date-parts":[["2005"]]}}}],"schema":"https://github.com/citation-style-language/schema/raw/master/csl-citation.json"} </w:instrText>
      </w:r>
      <w:r>
        <w:fldChar w:fldCharType="separate"/>
      </w:r>
      <w:r w:rsidRPr="00522C33">
        <w:rPr>
          <w:rFonts w:ascii="Calibri" w:hAnsi="Calibri" w:cs="Times New Roman"/>
          <w:sz w:val="20"/>
          <w:szCs w:val="24"/>
        </w:rPr>
        <w:t xml:space="preserve">Donna Hackett &amp; Richard F Devlin, “Constitutionalized Law Reform: Equality Rights and Social Context Education for Judges” (2005) 4 J Law Equal 157; Richard F Devlin, “Jurisprudence for Judges: Why Legal Theory Matters for Social Contect Education” (2001) 27 Queens Law J 161; Hackett &amp; Devlin, </w:t>
      </w:r>
      <w:r w:rsidRPr="00522C33">
        <w:rPr>
          <w:rFonts w:ascii="Calibri" w:hAnsi="Calibri" w:cs="Times New Roman"/>
          <w:i/>
          <w:iCs/>
          <w:sz w:val="20"/>
          <w:szCs w:val="24"/>
        </w:rPr>
        <w:t>supra</w:t>
      </w:r>
      <w:r w:rsidRPr="00522C33">
        <w:rPr>
          <w:rFonts w:ascii="Calibri" w:hAnsi="Calibri" w:cs="Times New Roman"/>
          <w:sz w:val="20"/>
          <w:szCs w:val="24"/>
        </w:rPr>
        <w:t xml:space="preserve"> note; Lynn Smith, “Judicial Education on Context Special Issue: Symposium Honouring the Late Mr. Justice Kenneth Lysyk: Kenneth Lysyk as a Judge: Judicial Education” (2005) 38 UBC Law Rev 569.</w:t>
      </w:r>
      <w:r>
        <w:fldChar w:fldCharType="end"/>
      </w:r>
    </w:p>
  </w:footnote>
  <w:footnote w:id="7">
    <w:p w14:paraId="1F579AAC"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{"citationID":"dGvgyRTj","properties":{"formattedCitation":"{\\rtf The National Judicial Institute, created in 1988, is \\uc0\\u8220{}an independent, not-for-profit institution committed to building better justice through leadership in the education of judges in Canada and internationally\\uc0\\u8221{}. \\uc0\\u8220{}Building Better Justice - The National Judicial Institute\\uc0\\u8221{}, online: &lt;https://www.nji-inm.ca/?langSwitch=en&gt;.}","plainCitation":"The National Judicial Institute, created in 1988, is “an independent, not-for-profit institution committed to building better justice through leadership in the education of judges in Canada and internationally”. “Building Better Justice - The National Judicial Institute”, online: &lt;https://www.nji-inm.ca/?langSwitch=en&gt;."},"citationItems":[{"id":3505,"uris":["http://zotero.org/groups/902724/items/MEG2ASPH"],"uri":["http://zotero.org/groups/902724/items/MEG2ASPH"],"itemData":{"id":3505,"type":"webpage","title":"Building Better Justice - The National Judicial Institute","URL":"https://www.nji-inm.ca/?langSwitch=en","accessed":{"date-parts":[["2017",5,10]]}},"prefix":"The National Judicial Institute, created in 1988, is “an independent, not-for-profit institution committed to building better justice through leadership in the education of judges in Canada and internationally”. "}],"schema":"https://github.com/citation-style-language/schema/raw/master/csl-citation.json"} </w:instrText>
      </w:r>
      <w:r>
        <w:fldChar w:fldCharType="separate"/>
      </w:r>
      <w:r w:rsidRPr="00E72EE2">
        <w:rPr>
          <w:rFonts w:ascii="Calibri" w:hAnsi="Calibri" w:cs="Times New Roman"/>
          <w:szCs w:val="24"/>
        </w:rPr>
        <w:t>The National Judicial Institute, created in 1988, is “an independent, not-for-profit institution committed to building better justice through leadership in the education of judges in Canada and internationally”. “Building Better Justice - The National Judicial Institute”, online: &lt;https://www.nji-inm.ca/?langSwitch=en&gt;.</w:t>
      </w:r>
      <w:r>
        <w:fldChar w:fldCharType="end"/>
      </w:r>
      <w:r>
        <w:t xml:space="preserve">  A helpful and through history of the movement of the highest echelons of the Canadian judiciary towards acceptance of the idea of social context education, and the impact of the advocacy of the first female Justice of the Canadian Supreme Court, Madame Justice Bertha Wilson, is available in </w:t>
      </w:r>
      <w:r w:rsidRPr="008918F7">
        <w:t>Cairns Way, Rosemary &amp; T Brettel Dawson. “Taking a Stand: Bertha Wilson’s Public Commitment to Judicial Education” in Kim Brooks, ed, Justice Bertha Wilson: One Woman’s Difference (UBC Press, 2008).</w:t>
      </w:r>
    </w:p>
  </w:footnote>
  <w:footnote w:id="8">
    <w:p w14:paraId="7ED57EEA"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{"citationID":"D6mqhjzV","properties":{"formattedCitation":"{\\rtf National Judicial Institute, {\\i{}National Judicial Institute:  Social Context Education:  Integration Protocol for Social Context (Approved by Board of Governors)} (2009).}","plainCitation":"National Judicial Institute, National Judicial Institute:  Social Context Education:  Integration Protocol for Social Context (Approved by Board of Governors) (2009)."},"citationItems":[{"id":3508,"uris":["http://zotero.org/groups/902724/items/DZWEHMST"],"uri":["http://zotero.org/groups/902724/items/DZWEHMST"],"itemData":{"id":3508,"type":"article","title":"National Judicial Institute:  Social Context Education:  Integration Protocol for Social Context (Approved by Board of Governors)","archive_location":"on file with author","URL":"http://www.iojt-dc2013.org/~/media/Microsites/Files/IOJT/11042013-Integration-Protocol-for-Social-Context.ashx","author":[{"family":"National Judicial Institute","given":""}],"issued":{"date-parts":[["2009",10]]},"accessed":{"date-parts":[["2017",5,10]]}}}],"schema":"https://github.com/citation-style-language/schema/raw/master/csl-citation.json"} </w:instrText>
      </w:r>
      <w:r>
        <w:fldChar w:fldCharType="separate"/>
      </w:r>
      <w:r w:rsidRPr="00ED602B">
        <w:rPr>
          <w:rFonts w:ascii="Calibri" w:hAnsi="Calibri" w:cs="Times New Roman"/>
          <w:szCs w:val="24"/>
        </w:rPr>
        <w:t xml:space="preserve">National Judicial Institute, </w:t>
      </w:r>
      <w:r w:rsidRPr="00ED602B">
        <w:rPr>
          <w:rFonts w:ascii="Calibri" w:hAnsi="Calibri" w:cs="Times New Roman"/>
          <w:i/>
          <w:iCs/>
          <w:szCs w:val="24"/>
        </w:rPr>
        <w:t>National Judicial Institute:  Social Context Education:  Integration Protocol for Social Context (Approved by Board of Governors)</w:t>
      </w:r>
      <w:r w:rsidRPr="00ED602B">
        <w:rPr>
          <w:rFonts w:ascii="Calibri" w:hAnsi="Calibri" w:cs="Times New Roman"/>
          <w:szCs w:val="24"/>
        </w:rPr>
        <w:t xml:space="preserve"> (2009).</w:t>
      </w:r>
      <w:r>
        <w:fldChar w:fldCharType="end"/>
      </w:r>
    </w:p>
  </w:footnote>
  <w:footnote w:id="9">
    <w:p w14:paraId="5F72CD51"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{"citationID":"aZx88157","properties":{"formattedCitation":"{\\rtf note 7; Dawson, {\\i{}supra} note 3; Dawson, {\\i{}supra} note 2; Swinton, {\\i{}supra} note 2.}","plainCitation":"note 7; Dawson, supra note 3; Dawson, supra note 2; Swinton, supra note 2."},"citationItems":[{"id":3505,"uris":["http://zotero.org/groups/902724/items/MEG2ASPH"],"uri":["http://zotero.org/groups/902724/items/MEG2ASPH"],"itemData":{"id":3505,"type":"webpage","title":"Building Better Justice - The National Judicial Institute","URL":"https://www.nji-inm.ca/?langSwitch=en","accessed":{"date-parts":[["2017",5,10]]}}},{"id":3478,"uris":["http://zotero.org/groups/902724/items/NDRSQD73"],"uri":["http://zotero.org/groups/902724/items/NDRSQD73"],"itemData":{"id":3478,"type":"article-journal","title":"Judicial Education: Pedagogy for a Change Symposium","container-title":"Journal of Dispute Resolution","page":"175-190","volume":"2015","source":"HeinOnline","abstract":"Since its inception in 1985, the National Judicial Institute (NJI) continues to be a resource to judges as a form of effective judicial education. Specifically, the NJI judicial education model has demonstrated that judicial education will be most effective when it is judge-led, judging focused, skills-based and experiential. Thus, learning by doing (as simulated in a learning setting) has become the preferred mode of judicial learning in NJI programming. However, judicial education requires educators to ensure that judges are also making several shifts in mindset. The author notes that there are four specific processes that are of utmost importance in judicial training, namely Experience, Reflection, Conceptualization, and Application.\nConsidering that judges operate within a  continually changing environment, judges should engage in continuous learning. Judicial education provides the opportunity for judges to enhance their knowledge, their skills, and their awareness of social conditions. Within judicial education programs, judges are able to share information, explore questions, and obtain feedback from peers, thereby learning from one another. Furthermore, judges engage with academics and community members to expose them to systemic injustices and socio-legal trends. As a result, this develops the capacity of judges to take into account a diversity of perspectives, thereby strengthening judicial reasoning and decision-making.","shortTitle":"Judicial Education","journalAbbreviation":"J. Disp. Resol.","language":"eng","author":[{"family":"Dawson","given":"T. Brettel"}],"issued":{"date-parts":[["2015"]]}}},{"id":3406,"uris":["http://zotero.org/groups/902724/items/UUPQTDSM"],"uri":["http://zotero.org/groups/902724/items/UUPQTDSM"],"itemData":{"id":3406,"type":"article-journal","title":"Judicial education on social context and gender in Canada: principles, process and lessons learned","container-title":"International Journal of the Legal Profession","page":"259-280","volume":"21","issue":"3","source":"Taylor and Francis+NEJM","abstract":"Social context education is based on the believe that the law should address the expectations and needs of the community. In training judges regarding social context education programs, judges learn to assess evidence, apply legal principles and manage their courtrooms in a manner that considers the diverse circumstances of the communities they serve. \n\tThe National Justice Institute (NJI) initiated the Social Context Education Plan continues to provide judges with varying social context education courses, including seminars regarding gender. In addition to separate seminars, social context education is also integrated within other judicial education seminars. \n\tHowever, Dawson discusses several factors that are critical to the social context education programs. Judges must be the primary leaders of the social context education programs to show credibility of the program. Furthermore, it is of importance to obtain the support of Chief justices and Chief Judges at both the national and local levels. In addition, mentoring by the judiciary will ensure that there is a continuing process of social context education. It is also critical that the Three Pillars in designing and delivering the social context education programs must include judges, academics and community members. Social context education program planners must also ensure that the programs include social context principles that are relevant to the specific judges given the distinct traits of the communities that the judge serves. Information and data by researchers and community members may serve as beneficial to assisting judges in this respect. \n\tIn regards to the most effective teaching style for social context education, Dawson suggests engagement through discussions and reflections on their experiences and challenges of the social context issues in legal interpretation. Simply providing judges with information is not as effective as actually providing with judges with the opportunity to discuss their experiences. Thus, providing judges with an opportunity to reflect on the ways they may relate their awareness of social context issues in regards to decision-making, fact-finding, sentencing and other aspects of judicial interpretation may be effective in social context education programs. \n\tOf importance is providing national and local levels of social context judicial education programs. Due to the diversity within the provinces and communities of Canada, court-level social context education may also be effective. Within all of these levels, social context education should also be incorporated into the other judicial education courses, as social context issues arise within all forms of legal topics. \n\tFurthermore, it is recommended to apply a centralized institutional model of social context education programs that is connected with a judicial education body, rather than as a separate body. This will ensure that the program is connected to the judiciary and involves judges in designing and delivering the social context education programs.","DOI":"10.1080/09695958.2015.1029487","ISSN":"0969-5958","shortTitle":"Judicial education on social context and gender in Canada","author":[{"family":"Dawson","given":"T. Brettel"}],"issued":{"date-parts":[["2014",9,2]]}}},{"id":3503,"uris":["http://zotero.org/groups/902724/items/DC6GT5V3"],"uri":["http://zotero.org/groups/902724/items/DC6GT5V3"],"itemData":{"id":3503,"type":"chapter","title":"Judicial Impartiality and Social Context Education","container-title":"Human Rights in the 21st century: prospects, institutions and processes","publisher":"Editions Themis","publisher-place":"Montreal","event-place":"Montreal","abstract":"One objective of social context education includes increasing awareness of the characteristics, needs and values of marginalized communities faced by the judiciary. Social context education programs may present empirical evidence, presentations from academics and specialists, victims of domestic violence, or spiritual elders to discuss their traditions with the judiciary. While some may argue that aquiring this information challenges judicial impartiality, Katherine Swinton argues that this is far from the case, as they are critical manners to obtain information regarding society.\n    Three possible models of social context education exist, though the third approach is argued to be most effective. The first method is self-teaching, in which the social context education program provides materials for read as a means of furthering their understanding of social issues. This method is not seen to be as effective as the second model, which is the “integration” approach. In the integration approach, social context issues are integrated into other judicial education programs. As an example, this may take the form of a few classes that discuss domestic violence in a criminal law judicial education course.\n    However, the most effective model according to Swinton is the third model. The “immersion” approach is adopted by the Western Judicial Education Centre and Australia. This approach includes a series of “full immersion” courses on social context issues for judges, including gender. To ensure that the program would effectively communicate the material to judges, the program lasted between four to six days. The programs integrated dramatizations, videos, panels, speakers and discussions regarding social issues facing the genders. Furthermore, the discussions and training were led by specialized judges, along with non-judiciary specialized leaders. In 1991, the immersion model was reported to be “extraordinarily successful,” but there has not since been follow-up evaluations.\n    Given that the immersion model gives judges a significant amount of time to reflect on the social issues facing marginalized communities, this model is seen as the most effective as it allows the judges to reflect on issues and challenge underlying assumptions they make in interpreting the law.","ISBN":"978-2-89400-099-1","author":[{"family":"Swinton","given":"Katherine"}],"editor":[{"family":"Cromwell","given":"Thomas A"},{"family":"Pinard","given":"Danielle"},{"family":"Dumont","given":"Hélène"},{"family":"Institut canadien d'administration de la justice","given":""}],"issued":{"date-parts":[["1997"]]}}}],"schema":"https://github.com/citation-style-language/schema/raw/master/csl-citation.json"} </w:instrText>
      </w:r>
      <w:r>
        <w:fldChar w:fldCharType="separate"/>
      </w:r>
      <w:r w:rsidRPr="000D529D">
        <w:rPr>
          <w:rFonts w:ascii="Calibri" w:hAnsi="Calibri" w:cs="Times New Roman"/>
          <w:szCs w:val="24"/>
        </w:rPr>
        <w:t xml:space="preserve">note 7; Dawson, </w:t>
      </w:r>
      <w:r w:rsidRPr="000D529D">
        <w:rPr>
          <w:rFonts w:ascii="Calibri" w:hAnsi="Calibri" w:cs="Times New Roman"/>
          <w:i/>
          <w:iCs/>
          <w:szCs w:val="24"/>
        </w:rPr>
        <w:t>supra</w:t>
      </w:r>
      <w:r w:rsidRPr="000D529D">
        <w:rPr>
          <w:rFonts w:ascii="Calibri" w:hAnsi="Calibri" w:cs="Times New Roman"/>
          <w:szCs w:val="24"/>
        </w:rPr>
        <w:t xml:space="preserve"> note 3; Dawson, </w:t>
      </w:r>
      <w:r w:rsidRPr="000D529D">
        <w:rPr>
          <w:rFonts w:ascii="Calibri" w:hAnsi="Calibri" w:cs="Times New Roman"/>
          <w:i/>
          <w:iCs/>
          <w:szCs w:val="24"/>
        </w:rPr>
        <w:t>supra</w:t>
      </w:r>
      <w:r w:rsidRPr="000D529D">
        <w:rPr>
          <w:rFonts w:ascii="Calibri" w:hAnsi="Calibri" w:cs="Times New Roman"/>
          <w:szCs w:val="24"/>
        </w:rPr>
        <w:t xml:space="preserve"> note 2; Swinton, </w:t>
      </w:r>
      <w:r w:rsidRPr="000D529D">
        <w:rPr>
          <w:rFonts w:ascii="Calibri" w:hAnsi="Calibri" w:cs="Times New Roman"/>
          <w:i/>
          <w:iCs/>
          <w:szCs w:val="24"/>
        </w:rPr>
        <w:t>supra</w:t>
      </w:r>
      <w:r w:rsidRPr="000D529D">
        <w:rPr>
          <w:rFonts w:ascii="Calibri" w:hAnsi="Calibri" w:cs="Times New Roman"/>
          <w:szCs w:val="24"/>
        </w:rPr>
        <w:t xml:space="preserve"> note 2.</w:t>
      </w:r>
      <w:r>
        <w:fldChar w:fldCharType="end"/>
      </w:r>
    </w:p>
  </w:footnote>
  <w:footnote w:id="10">
    <w:p w14:paraId="523B956F"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{"citationID":"O4YoDwRo","properties":{"formattedCitation":"{\\rtf A short list of examples in the English speaking world: \\uc0\\u8220{}National Judicial Institute, Abuja [Nigeria]\\uc0\\u8221{}, online: &lt;http://www.nji.gov.ng/aboutus.php&gt;; \\uc0\\u8220{}National Judicial College of Australia\\uc0\\u8221{}, online: &lt;http://njca.com.au/about/&gt;; \\uc0\\u8220{}National Judicial Academy, India\\uc0\\u8221{}, online: &lt;http://www.nja.nic.in/&gt;; \\uc0\\u8220{}Judiciary of England and Wales - Judicial College - Training\\uc0\\u8221{}, online: &lt;http://www.judiciary.gov.uk/training-support/judicial-college/training&gt;; \\uc0\\u8220{}Ecole Nationale de la Magistrature (R\\uc0\\u233{}publique fran\\uc0\\u231{}aise,Ministere de la Justice)\\uc0\\u8221{}, online: &lt;http://www.enm-justice.fr/&gt;; note 7.}","plainCitation":"A short list of examples in the English speaking world: “National Judicial Institute, Abuja [Nigeria]”, online: &lt;http://www.nji.gov.ng/aboutus.php&gt;; “National Judicial College of Australia”, online: &lt;http://njca.com.au/about/&gt;; “National Judicial Academy, India”, online: &lt;http://www.nja.nic.in/&gt;; “Judiciary of England and Wales - Judicial College - Training”, online: &lt;http://www.judiciary.gov.uk/training-support/judicial-college/training&gt;; “Ecole Nationale de la Magistrature (République française,Ministere de la Justice)”, online: &lt;http://www.enm-justice.fr/&gt;; note 7."},"citationItems":[{"id":3454,"uris":["http://zotero.org/groups/902724/items/27HXTDX2"],"uri":["http://zotero.org/groups/902724/items/27HXTDX2"],"itemData":{"id":3454,"type":"webpage","title":"National Judicial Institute, Abuja [Nigeria]","abstract":"The Institute organizes and conducts continuing judicial education and training, including study courses, lectures, seminars, workshops, and conferences, for all cadres of Judicial Officers in the country and their supporting staff. Other training programmes are also organized and conducted by the Institute in collaboration with other organizations in Nigeria and abroad.\n\nThis is with the view of improving and updating the overall knowledge of the Judicial Officers and their supporting staff as well as the general efficiency, performance, and uniformity in the quality of judicial service in the courts. The Judicial Officers include Judges of both Superior and the Lower Courts; while their Supporting Staff are from their respective Courts in the entire hierarchy of the Court System in Nigeria.","URL":"http://www.nji.gov.ng/aboutus.php","accessed":{"date-parts":[["2014",2,11]]}},"prefix":"A short list of examples in the English speaking world:"},{"id":3455,"uris":["http://zotero.org/groups/902724/items/5G7GX36M"],"uri":["http://zotero.org/groups/902724/items/5G7GX36M"],"itemData":{"id":3455,"type":"webpage","title":"National Judicial College of Australia","abstract":"The National Judicial College of Australia was established in May 2002 as an independent entity, incorporated as a company limited by guarantee. It is funded by contributions from the Commonwealth and some State and Territory governments.\n\nThe Council comprises four judicial members, a member nominated by the Commonwealth Attorney-General and a member nominated by participating State and Territory Attorneys General.","URL":"http://njca.com.au/about/","accessed":{"date-parts":[["2014",2,11]]}},"label":"page"},{"id":3456,"uris":["http://zotero.org/groups/902724/items/K5CCK969"],"uri":["http://zotero.org/groups/902724/items/K5CCK969"],"itemData":{"id":3456,"type":"webpage","title":"National Judicial Academy, India","abstract":"The aims and objects for which the society is formed are:\n\n(i)\tto provide training to the Judicial Officers of the States/Union Territories;\n(ii)\tto provide facilities for training of the ministerial officers working in the Supreme Court of India .\n(iii)\tto study the Court Management and Administration of Justice in the States/Union Territories and to suggest improvements to the said system.\n(iv)\tto prescribe rules and regulations for the management and administration of the Society;\n(v)\tto undertake, organize and facilitate study courses, conferences, seminars and lectures and research in matters relating to Court Management and Administration of Justice;\n(vi)\tto establish the Society as a centre of excellence in Court Management;\n(vii)\tto provide and disseminate information and literature relating to judicial administration;\n(viii)\tto conduct or sponsor training programmes for judicial officers and court administrators dealing with aspects of court and case flow management and court technology (computers);\n(ix)\tto provide continuing judicial education to judicial officers of the States/Union Territories;\n(x)\tto assist and promote education and skills programmes aimed at to promote the highest standard of professional competence and practice;\n(xi)\tto established Regional Centres at convenient locations in India to promote the objects of the Society;\n(xii)\tto established liaison with research institutions, universities and other bodies for the purpose of helping the cause of administration of Justice;\n(xiii)\tto enhance the capabilities of the existing training institutions for Judicial Officers of the States/Union Territories, to improve their quality of training;\n(xiv)\tto assist, interact and collaborate in promoting study of court management with other institutions and bodies, both within the country and abroad;\n(xv)\tto undertake publication of papers, books, monographs, journals etc. in Court Management and Administration of Justice;\n(xvi)\tto publish and disseminate information relating to results of research and other training courses/programmes;\n(xvii)\tto award certificates and other distinctions to Judicial Officers trained and to prescribe standards of proficiency before awarding of such certificates and other distinctions;\n(xviii)\tto establish procedures for smooth functioning of the Society and carry out activities in matters relating to personnel, finances, administration , purchases and management of hostels etc.;\n(xix)\tto do all such other lawful acts and things as are conducive or incidental to the attainment of the objectives of the Society.","URL":"http://www.nja.nic.in/","accessed":{"date-parts":[["2014",2,11]]}},"label":"page"},{"id":3458,"uris":["http://zotero.org/groups/902724/items/W3BRCVQG"],"uri":["http://zotero.org/groups/902724/items/W3BRCVQG"],"itemData":{"id":3458,"type":"webpage","title":"Judiciary of England and Wales - Judicial College - Training","abstract":"Appropriate judicial and administrative training is necessary if the Administrative Court is to be established regionally.\nJudicial training of nominated section 9 deputy High Court judges should be under the aegis of the Judicial Studies Board. It would probably be appropriate in the first instance to have a suitable course organised for the purpose under the leadership of the lead judge of the Administrative Court in the Royal Courts of Justice. The JSB is generally aware that this will be our recommendation, but have not, we believe, yet anticipated the cost in any budget.\nAdministrative training is a matter for HMCS, but would obviously have to include training at the Administrative Court office in London or by its officers and staff.","URL":"http://www.judiciary.gov.uk/training-support/judicial-college/training","accessed":{"date-parts":[["2014",2,11]]}},"label":"page"},{"id":3473,"uris":["http://zotero.org/groups/902724/items/RI3U7E7B"],"uri":["http://zotero.org/groups/902724/items/RI3U7E7B"],"itemData":{"id":3473,"type":"webpage","title":"Ecole Nationale de la Magistrature (République française,Ministere de la Justice)","abstract":"The National School of Magistrature of France engages in compulsory and continuous training of its magistrates that are currently in office at a rate of 5 days per year. The goal of the continuous advanced training is to ensure that the magistrates are meeting the needs of a changing society by:\n\na) Technical training to cope with changes in the profession (legislative or judicial changes), to deepen professional practices or to change their function.\n\nb) Training focused on developing personal skills (speaking in public, managing stress ...)\n\nc) Internships abroad and training on law and its practices outside France and in international institutions.\n\nd) Lastly, training courses dealing with major social issues (organized crime, bioethics, secularism, cybercrime, end of life ...)","URL":"http://www.enm-justice.fr/","accessed":{"date-parts":[["2014",2,11]]}},"label":"page"},{"id":3505,"uris":["http://zotero.org/groups/902724/items/MEG2ASPH"],"uri":["http://zotero.org/groups/902724/items/MEG2ASPH"],"itemData":{"id":3505,"type":"webpage","title":"Building Better Justice - The National Judicial Institute","URL":"https://www.nji-inm.ca/?langSwitch=en","accessed":{"date-parts":[["2017",5,10]]}},"label":"page"}],"schema":"https://github.com/citation-style-language/schema/raw/master/csl-citation.json"} </w:instrText>
      </w:r>
      <w:r>
        <w:fldChar w:fldCharType="separate"/>
      </w:r>
      <w:r w:rsidRPr="000D529D">
        <w:rPr>
          <w:rFonts w:ascii="Calibri" w:hAnsi="Calibri" w:cs="Times New Roman"/>
          <w:szCs w:val="24"/>
        </w:rPr>
        <w:t>A short list of examples in the English speaking world: “National Judicial Institute, Abuja [Nigeria]”, online: &lt;http://www.nji.gov.ng/aboutus.php&gt;; “National Judicial College of Australia”, online: &lt;http://njca.com.au/about/&gt;; “National Judicial Academy, India”, online: &lt;http://www.nja.nic.in/&gt;; “Judiciary of England and Wales - Judicial College - Training”, online: &lt;http://www.judiciary.gov.uk/training-support/judicial-college/training&gt;; “Ecole Nationale de la Magistrature (République française,Ministere de la Justice)”, online: &lt;http://www.enm-justice.fr/&gt;; note 7.</w:t>
      </w:r>
      <w:r>
        <w:fldChar w:fldCharType="end"/>
      </w:r>
    </w:p>
  </w:footnote>
  <w:footnote w:id="11">
    <w:p w14:paraId="52E0AA93"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{"citationID":"mFz4J7mQ","properties":{"formattedCitation":"{\\rtf \\uc0\\u8220{}Promoting the Rule of Law | Rule of Law Initiative [American Bar Association]\\uc0\\u8221{}, online: &lt;http://www.americanbar.org/advocacy/rule_of_law.html&gt;; \\uc0\\u8220{}IN AFGHANISTAN AND IRAQ: Strengthening the Rule of Law through Judicial Education and Law School Development\\uc0\\u8221{}, online: &lt;http://search.proquest.com/openview/864c5996299dd0dd7a36f5b6325cc52e/1?pq-origsite=gscholar&amp;cbl=12816&gt;; \\uc0\\u8220{}International Association of Women Judges: Judicial Training Programs: The Jurisprudence of Equality Programs (JEP)\\uc0\\u8221{}, (10 February 2014), online: {\\i{}Int Assoc Women Judges Adv Hum Rights Equal Justice All} &lt;http://www.iawj.org/JEP.html&gt;; Carrie Allison Brooks, Barbara Mullins Nelson &amp; Patricia H Murrell, \\uc0\\u8220{}Personal and Professional Development for Judges: The Institute for Faculty Excellence\\uc0\\u8221{} (2011) 18:3 J Adult Dev 135; Anand Bhattarai &amp; Kishor Uprety, \\uc0\\u8220{}Institutional Framework for Legal and Judicial Training in South Asia (with Particular Reference to Bangladesh and Nepal)\\uc0\\u8221{}, online: &lt;http://siteresources.worldbank.org/INTLAWJUSTICE/Resources/LDWP2_LegalJudicialTraining.pdf&gt;; Chief Justice Robert French, {\\i{}Judicial Education - A Global Phenomenon} (Sydney, Australia: The International Organization for Judicial Training, 2009).}","plainCitation":"“Promoting the Rule of Law | Rule of Law Initiative [American Bar Association]”, online: &lt;http://www.americanbar.org/advocacy/rule_of_law.html&gt;; “IN AFGHANISTAN AND IRAQ: Strengthening the Rule of Law through Judicial Education and Law School Development”, online: &lt;http://search.proquest.com/openview/864c5996299dd0dd7a36f5b6325cc52e/1?pq-origsite=gscholar&amp;cbl=12816&gt;; “International Association of Women Judges: Judicial Training Programs: The Jurisprudence of Equality Programs (JEP)”, (10 February 2014), online: Int Assoc Women Judges Adv Hum Rights Equal Justice All &lt;http://www.iawj.org/JEP.html&gt;; Carrie Allison Brooks, Barbara Mullins Nelson &amp; Patricia H Murrell, “Personal and Professional Development for Judges: The Institute for Faculty Excellence” (2011) 18:3 J Adult Dev 135; Anand Bhattarai &amp; Kishor Uprety, “Institutional Framework for Legal and Judicial Training in South Asia (with Particular Reference to Bangladesh and Nepal)”, online: &lt;http://siteresources.worldbank.org/INTLAWJUSTICE/Resources/LDWP2_LegalJudicialTraining.pdf&gt;; Chief Justice Robert French, Judicial Education - A Global Phenomenon (Sydney, Australia: The International Organization for Judicial Training, 2009)."},"citationItems":[{"id":3453,"uris":["http://zotero.org/groups/902724/items/V76DEUEW"],"uri":["http://zotero.org/groups/902724/items/V76DEUEW"],"itemData":{"id":3453,"type":"webpage","title":"Promoting the Rule of Law | Rule of Law Initiative [American Bar Association]","abstract":"The ABA Rule of Law Initiative (ABA ROLI) is an international development program that promotes justice, economic opportunity and human dignity through the rule of law.\n\nThe ABA established the program in 2007 to consolidate its five overseas rule of law programs, including the Central European and Eurasian Law Initiative (CEELI), which it created in 1990 after the fall of the Berlin Wall.\n\nFor more than 25 years, and through our work in more than 100 countries, the ABA Rule of Law Initiative (ABA ROLI) and our partners have sought to strengthen legal institutions, to support legal professionals, to foster respect for human rights and to advance public understanding of the law and of citizen rights.\n\nIn collaboration with our in-country partners—including government ministries, judges, lawyers, bar associations, law schools, court administrators, legislatures and civil society organizations—we design programs that are responsive to local needs and that prioritize sustainable solutions to pressing rule of law challenges. We employ rigorous and innovative monitoring and evaluation approaches in assessing the quality and effectiveness of our programs.\n\nABA ROLI has roughly 500 professional staff working in the United States and abroad, including a cadre of short- and long-term volunteers and legal specialists, who in fiscal year 2015 alone contributed $1.2 million in pro bono legal assistance.\n\nOur Core Principles\n\nPartnership. We employ a highly consultative approach to the delivery of independent, professional technical assistance, working with justice sector colleagues and local stakeholders to develop programs that are responsive to their needs and interests.\nEmpowerment. We provide people with the legal information, resources and assistance to defend their rights, access justice and hold government accountable.\nInclusivity. We work to eliminate bias and to ensure that marginalized groups have access to justice and public participation.\nUniversality. We look to comparative and international law to identify universal standards and global best practices, with the U.S. legal system providing just one of several available models.\nSustainability. We pursue strategies with lasting impact, including expanding citizen awareness, strengthening local capacity in the governmental and non-governmental sectors and furthering the professional development of our host country staff, who will become their country’s next generation of leaders.","URL":"http://www.americanbar.org/advocacy/rule_of_law.html","accessed":{"date-parts":[["2014",2,11]]}},"label":"page"},{"id":3470,"uris":["http://zotero.org/groups/902724/items/XEEB6FGC"],"uri":["http://zotero.org/groups/902724/items/XEEB6FGC"],"itemData":{"id":3470,"type":"webpage","title":"IN AFGHANISTAN AND IRAQ: Strengthening the Rule of Law through Judicial Education and Law School Development","abstract":"In this article, the author discusses specialized judicial education programs that were established in Afghanistan. Judicial education training was provided to provincial judges, prosecutors, and senior police officials that focused on the rights of the accused and due process issues arising in the context of organized crime, drug trafficking, and criminal procedure. The program was executed through lectures, discussions, and evaluation of the new code, along with participatory and practical exercises such as mock trials and case studies. The program was supported with an additional training program to educate judges in Afghanistan's neglected and isolated rural areas. \nAs of 2007, a specialized training program was designed to improve access to justice for diverse provinces in Afghanistan, including Balkh and Herat. In this program, legal training was provided to 1,300 justice operatives and religious and community leaders and the dissemination of a publication on key Afghan Supreme Court decisions.","URL":"http://search.proquest.com/openview/864c5996299dd0dd7a36f5b6325cc52e/1?pq-origsite=gscholar&amp;cbl=12816","shortTitle":"IN AFGHANISTAN AND IRAQ","accessed":{"date-parts":[["2017",3,17]]}},"label":"page"},{"id":3469,"uris":["http://zotero.org/groups/902724/items/PXCWAIW5"],"uri":["http://zotero.org/groups/902724/items/PXCWAIW5"],"itemData":{"id":3469,"type":"webpage","title":"International Association of Women Judges: Judicial Training Programs: The Jurisprudence of Equality Programs (JEP)","container-title":"International Association of Women Judges: Advancing Human Rights and Equal Justice for All","abstract":"The JEP judicial education program is offered in several international countries, including Jordan. The JEP training programs in all of the countries share the following features:\n\n1. JEP trainings are judge-centered and judicially-owned at both the international and national level: At the national level, the IAWJ works with and through its chapters to provide training that is responsive to locally-identified needs. It trains judges as trainers, so that they subsequently can train their colleagues, as it has been IAWJ's experience that most judges prefer to be trained by other judges. \n\n2. JEP trainings rely on local leadership and develop local capacity: The IAWJ works with and through its chapters to provide training that is responsive to locally-identified needs and whose content is guided and shaped by in-country judges.  \n\n3. JEP trainings rely on participatory learning methods: Judges and magistrates, like other professionals, are used to a high degree of professional autonomy, and bring a great deal of knowledge and experience to the training setting. JEP trainings draw on and leverage existing expertise through the use of case studies, role plays, small group work and other participatory techniques.\n\n4. JEP trainings encourage the application of international law in domestic courts to the extent permitted by local (i.e., national) law.\n\n5. JEP trainings are concrete, practical and non-abstract: Through stakeholder consultations and outreach to women's groups, medical practitioners, police, prosecutors, etc., JEP trainings work to address concrete problems identified by national chapters.","URL":"http://www.iawj.org/JEP.html","issued":{"date-parts":[["2014",2,10]]},"accessed":{"date-parts":[["2014",2,11]]}},"label":"page"},{"id":3365,"uris":["http://zotero.org/groups/902724/items/RQZMSQ46"],"uri":["http://zotero.org/groups/902724/items/RQZMSQ46"],"itemData":{"id":3365,"type":"article-journal","title":"Personal and Professional Development for Judges: The Institute for Faculty Excellence","container-title":"Journal of Adult Development","page":"135-143","volume":"18","issue":"3","source":"ProQuest","abstract":"This interview study describes the role that participation in the Institute for Faculty Excellence in Judicial Education (IFEJE) played in the personal and professional development of four judges. Judicial education is a relatively new field of adult and continuing professional education. There is limited literature devoted to this area of study outside of the arena of substantive legal or judging topics. Interviews served as the primary data source for this study along with program evaluations, photographs, and e-mail correspondence from Institute participants. The findings revealed that the combined safe environment, challenges, and support participants experienced at the Institute and learning about adult learning helped them: feel less isolated in their work; stretch their normal work boundaries resulting in the completion of projects for which they had great passion; and benefited them as judges, supervisors, teachers, and in other social relationships.","DOI":"http://dx.doi.org.ezproxy.library.yorku.ca/10.1007/s10804-010-9106-7","ISSN":"1068-0667","shortTitle":"Personal and Professional Development for Judges","language":"English","author":[{"family":"Brooks","given":"Carrie Allison"},{"family":"Nelson","given":"Barbara Mullins"},{"family":"Murrell","given":"Patricia H."}],"issued":{"date-parts":[["2011"]]}},"label":"page"},{"id":3437,"uris":["http://zotero.org/groups/902724/items/VCV8B83R"],"uri":["http://zotero.org/groups/902724/items/VCV8B83R"],"itemData":{"id":3437,"type":"article-journal","title":"Institutional Framework for Legal and Judicial Training in South Asia (with Particular Reference to Bangladesh and Nepal)","collection-title":"Law &amp; Development Working Paper Series #2","abstract":"The training of lawyers, judges, and other justice system professionals is an important element in the sustainable development of a country. Yet organizing training for professionals in the legal and judicial sector has always been a challenging task, particularly in developing countries. Resource scarcity, combined with a lack of capacity and political will, unhealthy competition among institutions, and lack of long-term visions and goals for sectoral development have all inhibited adequate training opportunities. These factors have also resulted in the slow establishment and operation of legal and judicial training institutions. In many countries, these institutions are subjected to ad hoc decisions by the executive, and thus often suffer from lack of necessary legal, judicial, and technical expertise.\nThis working paper is intended to share, in a very modest way, the experience of two countries in the South Asian subcontinent—Bangladesh and Nepal—which have made remarkable strides in developing, planning, managing, and facilitating legal and judicial training.","URL":"http://siteresources.worldbank.org/INTLAWJUSTICE/Resources/LDWP2_LegalJudicialTraining.pdf","language":"English","author":[{"family":"Bhattarai","given":"Anand"},{"family":"Uprety","given":"Kishor"}],"accessed":{"date-parts":[["2014",2,10]]}},"label":"page"},{"id":3462,"uris":["http://zotero.org/groups/902724/items/I5D9Q5QS"],"uri":["http://zotero.org/groups/902724/items/I5D9Q5QS"],"itemData":{"id":3462,"type":"paper-conference","title":"Judicial Education - A Global Phenomenon","publisher":"The International Organization for Judicial Training","publisher-place":"Sydney, Australia","event":"Fourth International Conference on the Training of the Judiciary","event-place":"Sydney, Australia","abstract":"In this paper, the author discusses the history of judicial training as well as international judicial education programs. However, the author also discusses the importance of integrating cultural awareness education within judicial education programs. Rather than focusing cultural awareness education on simplistic assumptions regarding homogeneity within cultural groups, there is a need to discuss diversity within cultures in judicial education programs.","URL":"http://njca.com.au/wp-content/uploads/2013/07/Judicial-Education-A-global-Phenomenon-R-French.pdf","author":[{"family":"French","given":"Chief Justice Robert"}],"issued":{"date-parts":[["2009",10,26]]},"accessed":{"date-parts":[["2014",2,10]]}},"label":"page"}],"schema":"https://github.com/citation-style-language/schema/raw/master/csl-citation.json"} </w:instrText>
      </w:r>
      <w:r>
        <w:fldChar w:fldCharType="separate"/>
      </w:r>
      <w:r w:rsidRPr="0073632B">
        <w:rPr>
          <w:rFonts w:ascii="Calibri" w:hAnsi="Calibri" w:cs="Times New Roman"/>
          <w:szCs w:val="24"/>
        </w:rPr>
        <w:t xml:space="preserve">“Promoting the Rule of Law | Rule of Law Initiative [American Bar Association]”, online: &lt;http://www.americanbar.org/advocacy/rule_of_law.html&gt;; “IN AFGHANISTAN AND IRAQ: Strengthening the Rule of Law through Judicial Education and Law School Development”, online: &lt;http://search.proquest.com/openview/864c5996299dd0dd7a36f5b6325cc52e/1?pq-origsite=gscholar&amp;cbl=12816&gt;; “International Association of Women Judges: Judicial Training Programs: The Jurisprudence of Equality Programs (JEP)”, (10 February 2014), online: </w:t>
      </w:r>
      <w:r w:rsidRPr="0073632B">
        <w:rPr>
          <w:rFonts w:ascii="Calibri" w:hAnsi="Calibri" w:cs="Times New Roman"/>
          <w:i/>
          <w:iCs/>
          <w:szCs w:val="24"/>
        </w:rPr>
        <w:t>Int Assoc Women Judges Adv Hum Rights Equal Justice All</w:t>
      </w:r>
      <w:r w:rsidRPr="0073632B">
        <w:rPr>
          <w:rFonts w:ascii="Calibri" w:hAnsi="Calibri" w:cs="Times New Roman"/>
          <w:szCs w:val="24"/>
        </w:rPr>
        <w:t xml:space="preserve"> &lt;http://www.iawj.org/JEP.html&gt;; Carrie Allison Brooks, Barbara Mullins Nelson &amp; Patricia H Murrell, “Personal and Professional Development for Judges: The Institute for Faculty Excellence” (2011) 18:3 J Adult Dev 135; Anand Bhattarai &amp; Kishor Uprety, “Institutional Framework for Legal and Judicial Training in South Asia (with Particular Reference to Bangladesh and Nepal)”, online: &lt;http://siteresources.worldbank.org/INTLAWJUSTICE/Resources/LDWP2_LegalJudicialTraining.pdf&gt;; Chief Justice Robert French, </w:t>
      </w:r>
      <w:r w:rsidRPr="0073632B">
        <w:rPr>
          <w:rFonts w:ascii="Calibri" w:hAnsi="Calibri" w:cs="Times New Roman"/>
          <w:i/>
          <w:iCs/>
          <w:szCs w:val="24"/>
        </w:rPr>
        <w:t>Judicial Education - A Global Phenomenon</w:t>
      </w:r>
      <w:r w:rsidRPr="0073632B">
        <w:rPr>
          <w:rFonts w:ascii="Calibri" w:hAnsi="Calibri" w:cs="Times New Roman"/>
          <w:szCs w:val="24"/>
        </w:rPr>
        <w:t xml:space="preserve"> (Sydney, Australia: The International Organization for Judicial Training, 2009).</w:t>
      </w:r>
      <w:r>
        <w:fldChar w:fldCharType="end"/>
      </w:r>
    </w:p>
  </w:footnote>
  <w:footnote w:id="12">
    <w:p w14:paraId="0FFCAEC9" w14:textId="77777777" w:rsidR="00562FB1" w:rsidRDefault="00562FB1" w:rsidP="00CD091A">
      <w:pPr>
        <w:pStyle w:val="FootnoteText"/>
      </w:pPr>
      <w:r>
        <w:rPr>
          <w:rStyle w:val="FootnoteReference"/>
        </w:rPr>
        <w:footnoteRef/>
      </w:r>
      <w:r>
        <w:t xml:space="preserve"> See the Bibliography included at the end of this paper.</w:t>
      </w:r>
    </w:p>
  </w:footnote>
  <w:footnote w:id="13">
    <w:p w14:paraId="6BC9FF47"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{"citationID":"hVW84qsW","properties":{"formattedCitation":"{\\rtf Livingston Armytage, \\uc0\\u8220{}Educating Judges\\uc0\\u8212{}Where to From Here?\\uc0\\u8221{} (2015) 2015:1 J Dispute Resolut, online: &lt;http://scholarship.law.missouri.edu/jdr/vol2015/iss1/10&gt; at 167\\uc0\\u8211{}168.}","plainCitation":"Livingston Armytage, “Educating Judges—Where to From Here?” (2015) 2015:1 J Dispute Resolut, online: &lt;http://scholarship.law.missouri.edu/jdr/vol2015/iss1/10&gt; at 167–168."},"citationItems":[{"id":3361,"uris":["http://zotero.org/groups/237676/items/VQUKVI4N"],"uri":["http://zotero.org/groups/237676/items/VQUKVI4N"],"itemData":{"id":3361,"type":"article-journal","title":"Educating Judges—Where to From Here?","container-title":"Journal of Dispute Resolution","volume":"2015","issue":"1","URL":"http://scholarship.law.missouri.edu/jdr/vol2015/iss1/10","ISSN":"1052-2859","author":[{"family":"Armytage","given":"Livingston"}],"issued":{"date-parts":[["2015",1,1]]}},"locator":"167-168"}],"schema":"https://github.com/citation-style-language/schema/raw/master/csl-citation.json"} </w:instrText>
      </w:r>
      <w:r>
        <w:fldChar w:fldCharType="separate"/>
      </w:r>
      <w:r w:rsidRPr="00CB1854">
        <w:rPr>
          <w:rFonts w:ascii="Calibri" w:hAnsi="Calibri" w:cs="Times New Roman"/>
          <w:szCs w:val="24"/>
        </w:rPr>
        <w:t>Livingston Armytage, “Educating Judges—Where to From Here?” (2015) 2015:1 J Dispute Resolut, online: &lt;http://scholarship.law.missouri.edu/jdr/vol2015/iss1/10&gt; at 167–168.</w:t>
      </w:r>
      <w:r>
        <w:fldChar w:fldCharType="end"/>
      </w:r>
    </w:p>
  </w:footnote>
  <w:footnote w:id="14">
    <w:p w14:paraId="3F5331B7"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{"citationID":"T4xfT9Be","properties":{"formattedCitation":"{\\rtf {\\i{}Ibid} at 168; Dawson, {\\i{}supra} note 2 at 272 (\\uc0\\u8220{}as decision makers within the law, judges will only speak freely when they are with other judges\\uc0\\u8221{}).}","plainCitation":"Ibid at 168; Dawson, supra note 2 at 272 (“as decision makers within the law, judges will only speak freely when they are with other judges”)."},"citationItems":[{"id":3361,"uris":["http://zotero.org/groups/237676/items/VQUKVI4N"],"uri":["http://zotero.org/groups/237676/items/VQUKVI4N"],"itemData":{"id":3361,"type":"article-journal","title":"Educating Judges—Where to From Here?","container-title":"Journal of Dispute Resolution","volume":"2015","issue":"1","URL":"http://scholarship.law.missouri.edu/jdr/vol2015/iss1/10","ISSN":"1052-2859","author":[{"family":"Armytage","given":"Livingston"}],"issued":{"date-parts":[["2015",1,1]]}},"locator":"168"},{"id":3406,"uris":["http://zotero.org/groups/902724/items/UUPQTDSM"],"uri":["http://zotero.org/groups/902724/items/UUPQTDSM"],"itemData":{"id":3406,"type":"article-journal","title":"Judicial education on social context and gender in Canada: principles, process and lessons learned","container-title":"International Journal of the Legal Profession","page":"259-280","volume":"21","issue":"3","source":"Taylor and Francis+NEJM","abstract":"Social context education is based on the believe that the law should address the expectations and needs of the community. In training judges regarding social context education programs, judges learn to assess evidence, apply legal principles and manage their courtrooms in a manner that considers the diverse circumstances of the communities they serve. \n\tThe National Justice Institute (NJI) initiated the Social Context Education Plan continues to provide judges with varying social context education courses, including seminars regarding gender. In addition to separate seminars, social context education is also integrated within other judicial education seminars. \n\tHowever, Dawson discusses several factors that are critical to the social context education programs. Judges must be the primary leaders of the social context education programs to show credibility of the program. Furthermore, it is of importance to obtain the support of Chief justices and Chief Judges at both the national and local levels. In addition, mentoring by the judiciary will ensure that there is a continuing process of social context education. It is also critical that the Three Pillars in designing and delivering the social context education programs must include judges, academics and community members. Social context education program planners must also ensure that the programs include social context principles that are relevant to the specific judges given the distinct traits of the communities that the judge serves. Information and data by researchers and community members may serve as beneficial to assisting judges in this respect. \n\tIn regards to the most effective teaching style for social context education, Dawson suggests engagement through discussions and reflections on their experiences and challenges of the social context issues in legal interpretation. Simply providing judges with information is not as effective as actually providing with judges with the opportunity to discuss their experiences. Thus, providing judges with an opportunity to reflect on the ways they may relate their awareness of social context issues in regards to decision-making, fact-finding, sentencing and other aspects of judicial interpretation may be effective in social context education programs. \n\tOf importance is providing national and local levels of social context judicial education programs. Due to the diversity within the provinces and communities of Canada, court-level social context education may also be effective. Within all of these levels, social context education should also be incorporated into the other judicial education courses, as social context issues arise within all forms of legal topics. \n\tFurthermore, it is recommended to apply a centralized institutional model of social context education programs that is connected with a judicial education body, rather than as a separate body. This will ensure that the program is connected to the judiciary and involves judges in designing and delivering the social context education programs.","DOI":"10.1080/09695958.2015.1029487","ISSN":"0969-5958","shortTitle":"Judicial education on social context and gender in Canada","author":[{"family":"Dawson","given":"T. Brettel"}],"issued":{"date-parts":[["2014",9,2]]}},"locator":"272","suffix":" (“as decision makers within the law, judges will only speak freely when they are with other judges”)"}],"schema":"https://github.com/citation-style-language/schema/raw/master/csl-citation.json"} </w:instrText>
      </w:r>
      <w:r>
        <w:fldChar w:fldCharType="separate"/>
      </w:r>
      <w:r w:rsidRPr="00B21C0A">
        <w:rPr>
          <w:rFonts w:ascii="Calibri" w:hAnsi="Calibri" w:cs="Times New Roman"/>
          <w:i/>
          <w:iCs/>
          <w:szCs w:val="24"/>
        </w:rPr>
        <w:t>Ibid</w:t>
      </w:r>
      <w:r w:rsidRPr="00B21C0A">
        <w:rPr>
          <w:rFonts w:ascii="Calibri" w:hAnsi="Calibri" w:cs="Times New Roman"/>
          <w:szCs w:val="24"/>
        </w:rPr>
        <w:t xml:space="preserve"> at 168; Dawson, </w:t>
      </w:r>
      <w:r w:rsidRPr="00B21C0A">
        <w:rPr>
          <w:rFonts w:ascii="Calibri" w:hAnsi="Calibri" w:cs="Times New Roman"/>
          <w:i/>
          <w:iCs/>
          <w:szCs w:val="24"/>
        </w:rPr>
        <w:t>supra</w:t>
      </w:r>
      <w:r w:rsidRPr="00B21C0A">
        <w:rPr>
          <w:rFonts w:ascii="Calibri" w:hAnsi="Calibri" w:cs="Times New Roman"/>
          <w:szCs w:val="24"/>
        </w:rPr>
        <w:t xml:space="preserve"> note 2 at 272 (“as decision makers within the law, judges will only speak freely when they are with other judges”).</w:t>
      </w:r>
      <w:r>
        <w:fldChar w:fldCharType="end"/>
      </w:r>
    </w:p>
  </w:footnote>
  <w:footnote w:id="15">
    <w:p w14:paraId="75A71B1C" w14:textId="77777777" w:rsidR="00562FB1" w:rsidRPr="00687FE1" w:rsidRDefault="00562FB1" w:rsidP="00CD091A">
      <w:pPr>
        <w:pStyle w:val="FootnoteText"/>
      </w:pPr>
      <w:r>
        <w:rPr>
          <w:rStyle w:val="FootnoteReference"/>
        </w:rPr>
        <w:footnoteRef/>
      </w:r>
      <w:r w:rsidRPr="00687FE1">
        <w:t xml:space="preserve"> </w:t>
      </w:r>
      <w:r>
        <w:fldChar w:fldCharType="begin"/>
      </w:r>
      <w:r w:rsidRPr="00687FE1">
        <w:instrText xml:space="preserve"> ADDIN ZOTERO_ITEM CSL_CITATION {"citationID":"AoqZfFE6","properties":{"formattedCitation":"{\\rtf Dawson, {\\i{}supra} note 3 at 188 (\\uc0\\u8220{}course evaluations completed by jhudges in theNJI national courses and court-based seminars depicts consistent support for the model:\\uc0\\u8221{}).}","plainCitation":"Dawson, supra note 3 at 188 (“course evaluations completed by jhudges in theNJI national courses and court-based seminars depicts consistent support for the model:”)."},"citationItems":[{"id":3478,"uris":["http://zotero.org/groups/902724/items/NDRSQD73"],"uri":["http://zotero.org/groups/902724/items/NDRSQD73"],"itemData":{"id":3478,"type":"article-journal","title":"Judicial Education: Pedagogy for a Change Symposium","container-title":"Journal of Dispute Resolution","page":"175-190","volume":"2015","source":"HeinOnline","abstract":"Since its inception in 1985, the National Judicial Institute (NJI) continues to be a resource to judges as a form of effective judicial education. Specifically, the NJI judicial education model has demonstrated that judicial education will be most effective when it is judge-led, judging focused, skills-based and experiential. Thus, learning by doing (as simulated in a learning setting) has become the preferred mode of judicial learning in NJI programming. However, judicial education requires educators to ensure that judges are also making several shifts in mindset. The author notes that there are four specific processes that are of utmost importance in judicial training, namely Experience, Reflection, Conceptualization, and Application.\nConsidering that judges operate within a  continually changing environment, judges should engage in continuous learning. Judicial education provides the opportunity for judges to enhance their knowledge, their skills, and their awareness of social conditions. Within judicial education programs, judges are able to share information, explore questions, and obtain feedback from peers, thereby learning from one another. Furthermore, judges engage with academics and community members to expose them to systemic injustices and socio-legal trends. As a result, this develops the capacity of judges to take into account a diversity of perspectives, thereby strengthening judicial reasoning and decision-making.","shortTitle":"Judicial Education","journalAbbreviation":"J. Disp. Resol.","language":"eng","author":[{"family":"Dawson","given":"T. Brettel"}],"issued":{"date-parts":[["2015"]]}},"locator":"188","suffix":"(\"course evaluations completed by jhudges in theNJI national courses and court-based seminars depicts consistent support for the model:\")"}],"schema":"https://github.com/citation-style-language/schema/raw/master/csl-citation.json"} </w:instrText>
      </w:r>
      <w:r>
        <w:fldChar w:fldCharType="separate"/>
      </w:r>
      <w:r w:rsidRPr="00687FE1">
        <w:rPr>
          <w:rFonts w:ascii="Calibri" w:hAnsi="Calibri" w:cs="Times New Roman"/>
          <w:szCs w:val="24"/>
        </w:rPr>
        <w:t xml:space="preserve">Dawson, </w:t>
      </w:r>
      <w:r w:rsidRPr="00687FE1">
        <w:rPr>
          <w:rFonts w:ascii="Calibri" w:hAnsi="Calibri" w:cs="Times New Roman"/>
          <w:i/>
          <w:iCs/>
          <w:szCs w:val="24"/>
        </w:rPr>
        <w:t>supra</w:t>
      </w:r>
      <w:r w:rsidRPr="00687FE1">
        <w:rPr>
          <w:rFonts w:ascii="Calibri" w:hAnsi="Calibri" w:cs="Times New Roman"/>
          <w:szCs w:val="24"/>
        </w:rPr>
        <w:t xml:space="preserve"> note 3 at 188 (“course evaluations completed by judges in the</w:t>
      </w:r>
      <w:r>
        <w:rPr>
          <w:rFonts w:ascii="Calibri" w:hAnsi="Calibri" w:cs="Times New Roman"/>
          <w:szCs w:val="24"/>
        </w:rPr>
        <w:t xml:space="preserve"> </w:t>
      </w:r>
      <w:r w:rsidRPr="00687FE1">
        <w:rPr>
          <w:rFonts w:ascii="Calibri" w:hAnsi="Calibri" w:cs="Times New Roman"/>
          <w:szCs w:val="24"/>
        </w:rPr>
        <w:t>NJI national courses and court-based seminars depicts consistent support for the model:”).</w:t>
      </w:r>
      <w:r>
        <w:fldChar w:fldCharType="end"/>
      </w:r>
    </w:p>
  </w:footnote>
  <w:footnote w:id="16">
    <w:p w14:paraId="26C7F503" w14:textId="77777777" w:rsidR="00562FB1" w:rsidRPr="00203EC1" w:rsidRDefault="00562FB1" w:rsidP="00CD091A">
      <w:pPr>
        <w:pStyle w:val="FootnoteText"/>
        <w:rPr>
          <w:lang w:val="fr-CA"/>
        </w:rPr>
      </w:pPr>
      <w:r>
        <w:rPr>
          <w:rStyle w:val="FootnoteReference"/>
        </w:rPr>
        <w:footnoteRef/>
      </w:r>
      <w:r w:rsidRPr="00203EC1">
        <w:rPr>
          <w:lang w:val="fr-CA"/>
        </w:rPr>
        <w:t xml:space="preserve"> </w:t>
      </w:r>
      <w:r>
        <w:fldChar w:fldCharType="begin"/>
      </w:r>
      <w:r>
        <w:rPr>
          <w:lang w:val="fr-CA"/>
        </w:rPr>
        <w:instrText xml:space="preserve"> ADDIN ZOTERO_ITEM CSL_CITATION {"citationID":"xizaWNe3","properties":{"formattedCitation":"{\\rtf Dawson, {\\i{}supra} note 2 at 271.}","plainCitation":"Dawson, supra note 2 at 271."},"citationItems":[{"id":3406,"uris":["http://zotero.org/groups/902724/items/UUPQTDSM"],"uri":["http://zotero.org/groups/902724/items/UUPQTDSM"],"itemData":{"id":3406,"type":"article-journal","title":"Judicial education on social context and gender in Canada: principles, process and lessons learned","container-title":"International Journal of the Legal Profession","page":"259-280","volume":"21","issue":"3","source":"Taylor and Francis+NEJM","abstract":"Social context education is based on the believe that the law should address the expectations and needs of the community. In training judges regarding social context education programs, judges learn to assess evidence, apply legal principles and manage their courtrooms in a manner that considers the diverse circumstances of the communities they serve. \n\tThe National Justice Institute (NJI) initiated the Social Context Education Plan continues to provide judges with varying social context education courses, including seminars regarding gender. In addition to separate seminars, social context education is also integrated within other judicial education seminars. \n\tHowever, Dawson discusses several factors that are critical to the social context education programs. Judges must be the primary leaders of the social context education programs to show credibility of the program. Furthermore, it is of importance to obtain the support of Chief justices and Chief Judges at both the national and local levels. In addition, mentoring by the judiciary will ensure that there is a continuing process of social context education. It is also critical that the Three Pillars in designing and delivering the social context education programs must include judges, academics and community members. Social context education program planners must also ensure that the programs include social context principles that are relevant to the specific judges given the distinct traits of the communities that the judge serves. Information and data by researchers and community members may serve as beneficial to assisting judges in this respect. \n\tIn regards to the most effective teaching style for social context education, Dawson suggests engagement through discussions and reflections on their experiences and challenges of the social context issues in legal interpretation. Simply providing judges with information is not as effective as actually providing with judges with the opportunity to discuss their experiences. Thus, providing judges with an opportunity to reflect on the ways they may relate their awareness of social context issues in regards to decision-making, fact-finding, sentencing and other aspects of judicial interpretation may be effective in social context education programs. \n\tOf importance is providing national and local levels of social context judicial education programs. Due to the diversity within the provinces and communities of Canada, court-level social context education may also be effective. Within all of these levels, social context education should also be incorporated into the other judicial education courses, as social context issues arise within all forms of legal topics. \n\tFurthermore, it is recommended to apply a centralized institutional model of social context education programs that is connected with a judicial education body, rather than as a separate body. This will ensure that the program is connected to the judiciary and involves judges in designing and delivering the social context education programs.","DOI":"10.1080/09695958.2015.1029487","ISSN":"0969-5958","shortTitle":"Judicial education on social context and gender in Canada","author":[{"family":"Dawson","given":"T. Brettel"}],"issued":{"date-parts":[["2014",9,2]]}},"locator":"271"}],"schema":"https://github.com/citation-style-language/schema/raw/master/csl-citation.json"} </w:instrText>
      </w:r>
      <w:r>
        <w:fldChar w:fldCharType="separate"/>
      </w:r>
      <w:r w:rsidRPr="00203EC1">
        <w:rPr>
          <w:rFonts w:ascii="Calibri" w:hAnsi="Calibri" w:cs="Times New Roman"/>
          <w:szCs w:val="24"/>
          <w:lang w:val="fr-CA"/>
        </w:rPr>
        <w:t xml:space="preserve">Dawson, </w:t>
      </w:r>
      <w:r w:rsidRPr="00203EC1">
        <w:rPr>
          <w:rFonts w:ascii="Calibri" w:hAnsi="Calibri" w:cs="Times New Roman"/>
          <w:i/>
          <w:iCs/>
          <w:szCs w:val="24"/>
          <w:lang w:val="fr-CA"/>
        </w:rPr>
        <w:t>supra</w:t>
      </w:r>
      <w:r w:rsidRPr="00203EC1">
        <w:rPr>
          <w:rFonts w:ascii="Calibri" w:hAnsi="Calibri" w:cs="Times New Roman"/>
          <w:szCs w:val="24"/>
          <w:lang w:val="fr-CA"/>
        </w:rPr>
        <w:t xml:space="preserve"> note 2 at 271.</w:t>
      </w:r>
      <w:r>
        <w:fldChar w:fldCharType="end"/>
      </w:r>
    </w:p>
  </w:footnote>
  <w:footnote w:id="17">
    <w:p w14:paraId="600F4709"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{"citationID":"JJgqccvE","properties":{"formattedCitation":"{\\rtf Armytage, {\\i{}supra} note 13 at 170, 172.}","plainCitation":"Armytage, supra note 13 at 170, 172."},"citationItems":[{"id":3361,"uris":["http://zotero.org/groups/237676/items/VQUKVI4N"],"uri":["http://zotero.org/groups/237676/items/VQUKVI4N"],"itemData":{"id":3361,"type":"article-journal","title":"Educating Judges—Where to From Here?","container-title":"Journal of Dispute Resolution","volume":"2015","issue":"1","URL":"http://scholarship.law.missouri.edu/jdr/vol2015/iss1/10","ISSN":"1052-2859","author":[{"family":"Armytage","given":"Livingston"}],"issued":{"date-parts":[["2015",1,1]]}},"locator":"170, 172"}],"schema":"https://github.com/citation-style-language/schema/raw/master/csl-citation.json"} </w:instrText>
      </w:r>
      <w:r>
        <w:fldChar w:fldCharType="separate"/>
      </w:r>
      <w:r w:rsidRPr="000D529D">
        <w:rPr>
          <w:rFonts w:ascii="Calibri" w:hAnsi="Calibri" w:cs="Times New Roman"/>
          <w:szCs w:val="24"/>
        </w:rPr>
        <w:t xml:space="preserve">Armytage, </w:t>
      </w:r>
      <w:r w:rsidRPr="000D529D">
        <w:rPr>
          <w:rFonts w:ascii="Calibri" w:hAnsi="Calibri" w:cs="Times New Roman"/>
          <w:i/>
          <w:iCs/>
          <w:szCs w:val="24"/>
        </w:rPr>
        <w:t>supra</w:t>
      </w:r>
      <w:r w:rsidRPr="000D529D">
        <w:rPr>
          <w:rFonts w:ascii="Calibri" w:hAnsi="Calibri" w:cs="Times New Roman"/>
          <w:szCs w:val="24"/>
        </w:rPr>
        <w:t xml:space="preserve"> note 13 at 170, 172.</w:t>
      </w:r>
      <w:r>
        <w:fldChar w:fldCharType="end"/>
      </w:r>
    </w:p>
  </w:footnote>
  <w:footnote w:id="18">
    <w:p w14:paraId="45250108"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{"citationID":"pfwOXV5q","properties":{"formattedCitation":"{\\rtf {\\i{}Ibid} at 173; Dawson, {\\i{}supra} note 2 at 268 (noting the need for experts on diversity, idadvantage and difference, those with direct experience or academic expertise working alongside judges in judicial education programming and delivery).}","plainCitation":"Ibid at 173; Dawson, supra note 2 at 268 (noting the need for experts on diversity, idadvantage and difference, those with direct experience or academic expertise working alongside judges in judicial education programming and delivery)."},"citationItems":[{"id":3361,"uris":["http://zotero.org/groups/237676/items/VQUKVI4N"],"uri":["http://zotero.org/groups/237676/items/VQUKVI4N"],"itemData":{"id":3361,"type":"article-journal","title":"Educating Judges—Where to From Here?","container-title":"Journal of Dispute Resolution","volume":"2015","issue":"1","URL":"http://scholarship.law.missouri.edu/jdr/vol2015/iss1/10","ISSN":"1052-2859","author":[{"family":"Armytage","given":"Livingston"}],"issued":{"date-parts":[["2015",1,1]]}},"locator":"173"},{"id":3406,"uris":["http://zotero.org/groups/902724/items/UUPQTDSM"],"uri":["http://zotero.org/groups/902724/items/UUPQTDSM"],"itemData":{"id":3406,"type":"article-journal","title":"Judicial education on social context and gender in Canada: principles, process and lessons learned","container-title":"International Journal of the Legal Profession","page":"259-280","volume":"21","issue":"3","source":"Taylor and Francis+NEJM","abstract":"Social context education is based on the believe that the law should address the expectations and needs of the community. In training judges regarding social context education programs, judges learn to assess evidence, apply legal principles and manage their courtrooms in a manner that considers the diverse circumstances of the communities they serve. \n\tThe National Justice Institute (NJI) initiated the Social Context Education Plan continues to provide judges with varying social context education courses, including seminars regarding gender. In addition to separate seminars, social context education is also integrated within other judicial education seminars. \n\tHowever, Dawson discusses several factors that are critical to the social context education programs. Judges must be the primary leaders of the social context education programs to show credibility of the program. Furthermore, it is of importance to obtain the support of Chief justices and Chief Judges at both the national and local levels. In addition, mentoring by the judiciary will ensure that there is a continuing process of social context education. It is also critical that the Three Pillars in designing and delivering the social context education programs must include judges, academics and community members. Social context education program planners must also ensure that the programs include social context principles that are relevant to the specific judges given the distinct traits of the communities that the judge serves. Information and data by researchers and community members may serve as beneficial to assisting judges in this respect. \n\tIn regards to the most effective teaching style for social context education, Dawson suggests engagement through discussions and reflections on their experiences and challenges of the social context issues in legal interpretation. Simply providing judges with information is not as effective as actually providing with judges with the opportunity to discuss their experiences. Thus, providing judges with an opportunity to reflect on the ways they may relate their awareness of social context issues in regards to decision-making, fact-finding, sentencing and other aspects of judicial interpretation may be effective in social context education programs. \n\tOf importance is providing national and local levels of social context judicial education programs. Due to the diversity within the provinces and communities of Canada, court-level social context education may also be effective. Within all of these levels, social context education should also be incorporated into the other judicial education courses, as social context issues arise within all forms of legal topics. \n\tFurthermore, it is recommended to apply a centralized institutional model of social context education programs that is connected with a judicial education body, rather than as a separate body. This will ensure that the program is connected to the judiciary and involves judges in designing and delivering the social context education programs.","DOI":"10.1080/09695958.2015.1029487","ISSN":"0969-5958","shortTitle":"Judicial education on social context and gender in Canada","author":[{"family":"Dawson","given":"T. Brettel"}],"issued":{"date-parts":[["2014",9,2]]}},"locator":"268","suffix":"(noting the need for experts on diversity, idadvantage and difference, those with direct experience or academic expertise working alongside judges in judicial education programming and delivery)"}],"schema":"https://github.com/citation-style-language/schema/raw/master/csl-citation.json"} </w:instrText>
      </w:r>
      <w:r>
        <w:fldChar w:fldCharType="separate"/>
      </w:r>
      <w:r w:rsidRPr="00880A63">
        <w:rPr>
          <w:rFonts w:ascii="Calibri" w:hAnsi="Calibri" w:cs="Times New Roman"/>
          <w:i/>
          <w:iCs/>
          <w:szCs w:val="24"/>
        </w:rPr>
        <w:t>Ibid</w:t>
      </w:r>
      <w:r w:rsidRPr="00880A63">
        <w:rPr>
          <w:rFonts w:ascii="Calibri" w:hAnsi="Calibri" w:cs="Times New Roman"/>
          <w:szCs w:val="24"/>
        </w:rPr>
        <w:t xml:space="preserve"> at 173; Dawson, </w:t>
      </w:r>
      <w:r w:rsidRPr="00880A63">
        <w:rPr>
          <w:rFonts w:ascii="Calibri" w:hAnsi="Calibri" w:cs="Times New Roman"/>
          <w:i/>
          <w:iCs/>
          <w:szCs w:val="24"/>
        </w:rPr>
        <w:t>supra</w:t>
      </w:r>
      <w:r w:rsidRPr="00880A63">
        <w:rPr>
          <w:rFonts w:ascii="Calibri" w:hAnsi="Calibri" w:cs="Times New Roman"/>
          <w:szCs w:val="24"/>
        </w:rPr>
        <w:t xml:space="preserve"> note 2 at 268 (noting the need for experts on diversity, disadvantage and difference, those with direct experience or academic expertise working alongside judges in judicial education programming and delivery).</w:t>
      </w:r>
      <w:r>
        <w:fldChar w:fldCharType="end"/>
      </w:r>
    </w:p>
  </w:footnote>
  <w:footnote w:id="19">
    <w:p w14:paraId="37A564CD"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{"citationID":"sEkJMadG","properties":{"formattedCitation":"{\\rtf Dawson, {\\i{}supra} note 2 at 267\\uc0\\u8211{}68.}","plainCitation":"Dawson, supra note 2 at 267–68."},"citationItems":[{"id":3406,"uris":["http://zotero.org/groups/902724/items/UUPQTDSM"],"uri":["http://zotero.org/groups/902724/items/UUPQTDSM"],"itemData":{"id":3406,"type":"article-journal","title":"Judicial education on social context and gender in Canada: principles, process and lessons learned","container-title":"International Journal of the Legal Profession","page":"259-280","volume":"21","issue":"3","source":"Taylor and Francis+NEJM","abstract":"Social context education is based on the believe that the law should address the expectations and needs of the community. In training judges regarding social context education programs, judges learn to assess evidence, apply legal principles and manage their courtrooms in a manner that considers the diverse circumstances of the communities they serve. \n\tThe National Justice Institute (NJI) initiated the Social Context Education Plan continues to provide judges with varying social context education courses, including seminars regarding gender. In addition to separate seminars, social context education is also integrated within other judicial education seminars. \n\tHowever, Dawson discusses several factors that are critical to the social context education programs. Judges must be the primary leaders of the social context education programs to show credibility of the program. Furthermore, it is of importance to obtain the support of Chief justices and Chief Judges at both the national and local levels. In addition, mentoring by the judiciary will ensure that there is a continuing process of social context education. It is also critical that the Three Pillars in designing and delivering the social context education programs must include judges, academics and community members. Social context education program planners must also ensure that the programs include social context principles that are relevant to the specific judges given the distinct traits of the communities that the judge serves. Information and data by researchers and community members may serve as beneficial to assisting judges in this respect. \n\tIn regards to the most effective teaching style for social context education, Dawson suggests engagement through discussions and reflections on their experiences and challenges of the social context issues in legal interpretation. Simply providing judges with information is not as effective as actually providing with judges with the opportunity to discuss their experiences. Thus, providing judges with an opportunity to reflect on the ways they may relate their awareness of social context issues in regards to decision-making, fact-finding, sentencing and other aspects of judicial interpretation may be effective in social context education programs. \n\tOf importance is providing national and local levels of social context judicial education programs. Due to the diversity within the provinces and communities of Canada, court-level social context education may also be effective. Within all of these levels, social context education should also be incorporated into the other judicial education courses, as social context issues arise within all forms of legal topics. \n\tFurthermore, it is recommended to apply a centralized institutional model of social context education programs that is connected with a judicial education body, rather than as a separate body. This will ensure that the program is connected to the judiciary and involves judges in designing and delivering the social context education programs.","DOI":"10.1080/09695958.2015.1029487","ISSN":"0969-5958","shortTitle":"Judicial education on social context and gender in Canada","author":[{"family":"Dawson","given":"T. Brettel"}],"issued":{"date-parts":[["2014",9,2]]}},"locator":"267-68"}],"schema":"https://github.com/citation-style-language/schema/raw/master/csl-citation.json"} </w:instrText>
      </w:r>
      <w:r>
        <w:fldChar w:fldCharType="separate"/>
      </w:r>
      <w:r w:rsidRPr="000D529D">
        <w:rPr>
          <w:rFonts w:ascii="Calibri" w:hAnsi="Calibri" w:cs="Times New Roman"/>
          <w:szCs w:val="24"/>
        </w:rPr>
        <w:t xml:space="preserve">Dawson, </w:t>
      </w:r>
      <w:r w:rsidRPr="000D529D">
        <w:rPr>
          <w:rFonts w:ascii="Calibri" w:hAnsi="Calibri" w:cs="Times New Roman"/>
          <w:i/>
          <w:iCs/>
          <w:szCs w:val="24"/>
        </w:rPr>
        <w:t>supra</w:t>
      </w:r>
      <w:r w:rsidRPr="000D529D">
        <w:rPr>
          <w:rFonts w:ascii="Calibri" w:hAnsi="Calibri" w:cs="Times New Roman"/>
          <w:szCs w:val="24"/>
        </w:rPr>
        <w:t xml:space="preserve"> note 2 at 267–68.</w:t>
      </w:r>
      <w:r>
        <w:fldChar w:fldCharType="end"/>
      </w:r>
    </w:p>
  </w:footnote>
  <w:footnote w:id="20">
    <w:p w14:paraId="5F18DE98"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{"citationID":"uB68pP4W","properties":{"formattedCitation":"{\\rtf {\\i{}Ibid} at 271.}","plainCitation":"Ibid at 271."},"citationItems":[{"id":3406,"uris":["http://zotero.org/groups/902724/items/UUPQTDSM"],"uri":["http://zotero.org/groups/902724/items/UUPQTDSM"],"itemData":{"id":3406,"type":"article-journal","title":"Judicial education on social context and gender in Canada: principles, process and lessons learned","container-title":"International Journal of the Legal Profession","page":"259-280","volume":"21","issue":"3","source":"Taylor and Francis+NEJM","abstract":"Social context education is based on the believe that the law should address the expectations and needs of the community. In training judges regarding social context education programs, judges learn to assess evidence, apply legal principles and manage their courtrooms in a manner that considers the diverse circumstances of the communities they serve. \n\tThe National Justice Institute (NJI) initiated the Social Context Education Plan continues to provide judges with varying social context education courses, including seminars regarding gender. In addition to separate seminars, social context education is also integrated within other judicial education seminars. \n\tHowever, Dawson discusses several factors that are critical to the social context education programs. Judges must be the primary leaders of the social context education programs to show credibility of the program. Furthermore, it is of importance to obtain the support of Chief justices and Chief Judges at both the national and local levels. In addition, mentoring by the judiciary will ensure that there is a continuing process of social context education. It is also critical that the Three Pillars in designing and delivering the social context education programs must include judges, academics and community members. Social context education program planners must also ensure that the programs include social context principles that are relevant to the specific judges given the distinct traits of the communities that the judge serves. Information and data by researchers and community members may serve as beneficial to assisting judges in this respect. \n\tIn regards to the most effective teaching style for social context education, Dawson suggests engagement through discussions and reflections on their experiences and challenges of the social context issues in legal interpretation. Simply providing judges with information is not as effective as actually providing with judges with the opportunity to discuss their experiences. Thus, providing judges with an opportunity to reflect on the ways they may relate their awareness of social context issues in regards to decision-making, fact-finding, sentencing and other aspects of judicial interpretation may be effective in social context education programs. \n\tOf importance is providing national and local levels of social context judicial education programs. Due to the diversity within the provinces and communities of Canada, court-level social context education may also be effective. Within all of these levels, social context education should also be incorporated into the other judicial education courses, as social context issues arise within all forms of legal topics. \n\tFurthermore, it is recommended to apply a centralized institutional model of social context education programs that is connected with a judicial education body, rather than as a separate body. This will ensure that the program is connected to the judiciary and involves judges in designing and delivering the social context education programs.","DOI":"10.1080/09695958.2015.1029487","ISSN":"0969-5958","shortTitle":"Judicial education on social context and gender in Canada","author":[{"family":"Dawson","given":"T. Brettel"}],"issued":{"date-parts":[["2014",9,2]]}},"locator":"271"}],"schema":"https://github.com/citation-style-language/schema/raw/master/csl-citation.json"} </w:instrText>
      </w:r>
      <w:r>
        <w:fldChar w:fldCharType="separate"/>
      </w:r>
      <w:r w:rsidRPr="00B21C0A">
        <w:rPr>
          <w:rFonts w:ascii="Calibri" w:hAnsi="Calibri" w:cs="Times New Roman"/>
          <w:i/>
          <w:iCs/>
          <w:szCs w:val="24"/>
        </w:rPr>
        <w:t>Ibid</w:t>
      </w:r>
      <w:r w:rsidRPr="00B21C0A">
        <w:rPr>
          <w:rFonts w:ascii="Calibri" w:hAnsi="Calibri" w:cs="Times New Roman"/>
          <w:szCs w:val="24"/>
        </w:rPr>
        <w:t xml:space="preserve"> at 271.</w:t>
      </w:r>
      <w:r>
        <w:fldChar w:fldCharType="end"/>
      </w:r>
    </w:p>
  </w:footnote>
  <w:footnote w:id="21">
    <w:p w14:paraId="58204A0E"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{"citationID":"TkumimJI","properties":{"formattedCitation":"{\\rtf {\\i{}Ibid} at 272.}","plainCitation":"Ibid at 272."},"citationItems":[{"id":3406,"uris":["http://zotero.org/groups/902724/items/UUPQTDSM"],"uri":["http://zotero.org/groups/902724/items/UUPQTDSM"],"itemData":{"id":3406,"type":"article-journal","title":"Judicial education on social context and gender in Canada: principles, process and lessons learned","container-title":"International Journal of the Legal Profession","page":"259-280","volume":"21","issue":"3","source":"Taylor and Francis+NEJM","abstract":"Social context education is based on the believe that the law should address the expectations and needs of the community. In training judges regarding social context education programs, judges learn to assess evidence, apply legal principles and manage their courtrooms in a manner that considers the diverse circumstances of the communities they serve. \n\tThe National Justice Institute (NJI) initiated the Social Context Education Plan continues to provide judges with varying social context education courses, including seminars regarding gender. In addition to separate seminars, social context education is also integrated within other judicial education seminars. \n\tHowever, Dawson discusses several factors that are critical to the social context education programs. Judges must be the primary leaders of the social context education programs to show credibility of the program. Furthermore, it is of importance to obtain the support of Chief justices and Chief Judges at both the national and local levels. In addition, mentoring by the judiciary will ensure that there is a continuing process of social context education. It is also critical that the Three Pillars in designing and delivering the social context education programs must include judges, academics and community members. Social context education program planners must also ensure that the programs include social context principles that are relevant to the specific judges given the distinct traits of the communities that the judge serves. Information and data by researchers and community members may serve as beneficial to assisting judges in this respect. \n\tIn regards to the most effective teaching style for social context education, Dawson suggests engagement through discussions and reflections on their experiences and challenges of the social context issues in legal interpretation. Simply providing judges with information is not as effective as actually providing with judges with the opportunity to discuss their experiences. Thus, providing judges with an opportunity to reflect on the ways they may relate their awareness of social context issues in regards to decision-making, fact-finding, sentencing and other aspects of judicial interpretation may be effective in social context education programs. \n\tOf importance is providing national and local levels of social context judicial education programs. Due to the diversity within the provinces and communities of Canada, court-level social context education may also be effective. Within all of these levels, social context education should also be incorporated into the other judicial education courses, as social context issues arise within all forms of legal topics. \n\tFurthermore, it is recommended to apply a centralized institutional model of social context education programs that is connected with a judicial education body, rather than as a separate body. This will ensure that the program is connected to the judiciary and involves judges in designing and delivering the social context education programs.","DOI":"10.1080/09695958.2015.1029487","ISSN":"0969-5958","shortTitle":"Judicial education on social context and gender in Canada","author":[{"family":"Dawson","given":"T. Brettel"}],"issued":{"date-parts":[["2014",9,2]]}},"locator":"272"}],"schema":"https://github.com/citation-style-language/schema/raw/master/csl-citation.json"} </w:instrText>
      </w:r>
      <w:r>
        <w:fldChar w:fldCharType="separate"/>
      </w:r>
      <w:r w:rsidRPr="00B21C0A">
        <w:rPr>
          <w:rFonts w:ascii="Calibri" w:hAnsi="Calibri" w:cs="Times New Roman"/>
          <w:i/>
          <w:iCs/>
          <w:szCs w:val="24"/>
        </w:rPr>
        <w:t>Ibid</w:t>
      </w:r>
      <w:r w:rsidRPr="00B21C0A">
        <w:rPr>
          <w:rFonts w:ascii="Calibri" w:hAnsi="Calibri" w:cs="Times New Roman"/>
          <w:szCs w:val="24"/>
        </w:rPr>
        <w:t xml:space="preserve"> at 272.</w:t>
      </w:r>
      <w:r>
        <w:fldChar w:fldCharType="end"/>
      </w:r>
    </w:p>
  </w:footnote>
  <w:footnote w:id="22">
    <w:p w14:paraId="69C5D6F2"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{"citationID":"EYgw3bTi","properties":{"formattedCitation":"{\\rtf {\\i{}Ibid}.}","plainCitation":"Ibid."},"citationItems":[{"id":3406,"uris":["http://zotero.org/groups/902724/items/UUPQTDSM"],"uri":["http://zotero.org/groups/902724/items/UUPQTDSM"],"itemData":{"id":3406,"type":"article-journal","title":"Judicial education on social context and gender in Canada: principles, process and lessons learned","container-title":"International Journal of the Legal Profession","page":"259-280","volume":"21","issue":"3","source":"Taylor and Francis+NEJM","abstract":"Social context education is based on the believe that the law should address the expectations and needs of the community. In training judges regarding social context education programs, judges learn to assess evidence, apply legal principles and manage their courtrooms in a manner that considers the diverse circumstances of the communities they serve. \n\tThe National Justice Institute (NJI) initiated the Social Context Education Plan continues to provide judges with varying social context education courses, including seminars regarding gender. In addition to separate seminars, social context education is also integrated within other judicial education seminars. \n\tHowever, Dawson discusses several factors that are critical to the social context education programs. Judges must be the primary leaders of the social context education programs to show credibility of the program. Furthermore, it is of importance to obtain the support of Chief justices and Chief Judges at both the national and local levels. In addition, mentoring by the judiciary will ensure that there is a continuing process of social context education. It is also critical that the Three Pillars in designing and delivering the social context education programs must include judges, academics and community members. Social context education program planners must also ensure that the programs include social context principles that are relevant to the specific judges given the distinct traits of the communities that the judge serves. Information and data by researchers and community members may serve as beneficial to assisting judges in this respect. \n\tIn regards to the most effective teaching style for social context education, Dawson suggests engagement through discussions and reflections on their experiences and challenges of the social context issues in legal interpretation. Simply providing judges with information is not as effective as actually providing with judges with the opportunity to discuss their experiences. Thus, providing judges with an opportunity to reflect on the ways they may relate their awareness of social context issues in regards to decision-making, fact-finding, sentencing and other aspects of judicial interpretation may be effective in social context education programs. \n\tOf importance is providing national and local levels of social context judicial education programs. Due to the diversity within the provinces and communities of Canada, court-level social context education may also be effective. Within all of these levels, social context education should also be incorporated into the other judicial education courses, as social context issues arise within all forms of legal topics. \n\tFurthermore, it is recommended to apply a centralized institutional model of social context education programs that is connected with a judicial education body, rather than as a separate body. This will ensure that the program is connected to the judiciary and involves judges in designing and delivering the social context education programs.","DOI":"10.1080/09695958.2015.1029487","ISSN":"0969-5958","shortTitle":"Judicial education on social context and gender in Canada","author":[{"family":"Dawson","given":"T. Brettel"}],"issued":{"date-parts":[["2014",9,2]]}},"locator":"272"}],"schema":"https://github.com/citation-style-language/schema/raw/master/csl-citation.json"} </w:instrText>
      </w:r>
      <w:r>
        <w:fldChar w:fldCharType="separate"/>
      </w:r>
      <w:r w:rsidRPr="00B21C0A">
        <w:rPr>
          <w:rFonts w:ascii="Calibri" w:hAnsi="Calibri" w:cs="Times New Roman"/>
          <w:i/>
          <w:iCs/>
          <w:szCs w:val="24"/>
        </w:rPr>
        <w:t>Ibid</w:t>
      </w:r>
      <w:r w:rsidRPr="00B21C0A">
        <w:rPr>
          <w:rFonts w:ascii="Calibri" w:hAnsi="Calibri" w:cs="Times New Roman"/>
          <w:szCs w:val="24"/>
        </w:rPr>
        <w:t>.</w:t>
      </w:r>
      <w:r>
        <w:fldChar w:fldCharType="end"/>
      </w:r>
    </w:p>
  </w:footnote>
  <w:footnote w:id="23">
    <w:p w14:paraId="65D3F647"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{"citationID":"w7SuReCz","properties":{"formattedCitation":"{\\rtf {\\i{}Ibid}.}","plainCitation":"Ibid."},"citationItems":[{"id":3406,"uris":["http://zotero.org/groups/902724/items/UUPQTDSM"],"uri":["http://zotero.org/groups/902724/items/UUPQTDSM"],"itemData":{"id":3406,"type":"article-journal","title":"Judicial education on social context and gender in Canada: principles, process and lessons learned","container-title":"International Journal of the Legal Profession","page":"259-280","volume":"21","issue":"3","source":"Taylor and Francis+NEJM","abstract":"Social context education is based on the believe that the law should address the expectations and needs of the community. In training judges regarding social context education programs, judges learn to assess evidence, apply legal principles and manage their courtrooms in a manner that considers the diverse circumstances of the communities they serve. \n\tThe National Justice Institute (NJI) initiated the Social Context Education Plan continues to provide judges with varying social context education courses, including seminars regarding gender. In addition to separate seminars, social context education is also integrated within other judicial education seminars. \n\tHowever, Dawson discusses several factors that are critical to the social context education programs. Judges must be the primary leaders of the social context education programs to show credibility of the program. Furthermore, it is of importance to obtain the support of Chief justices and Chief Judges at both the national and local levels. In addition, mentoring by the judiciary will ensure that there is a continuing process of social context education. It is also critical that the Three Pillars in designing and delivering the social context education programs must include judges, academics and community members. Social context education program planners must also ensure that the programs include social context principles that are relevant to the specific judges given the distinct traits of the communities that the judge serves. Information and data by researchers and community members may serve as beneficial to assisting judges in this respect. \n\tIn regards to the most effective teaching style for social context education, Dawson suggests engagement through discussions and reflections on their experiences and challenges of the social context issues in legal interpretation. Simply providing judges with information is not as effective as actually providing with judges with the opportunity to discuss their experiences. Thus, providing judges with an opportunity to reflect on the ways they may relate their awareness of social context issues in regards to decision-making, fact-finding, sentencing and other aspects of judicial interpretation may be effective in social context education programs. \n\tOf importance is providing national and local levels of social context judicial education programs. Due to the diversity within the provinces and communities of Canada, court-level social context education may also be effective. Within all of these levels, social context education should also be incorporated into the other judicial education courses, as social context issues arise within all forms of legal topics. \n\tFurthermore, it is recommended to apply a centralized institutional model of social context education programs that is connected with a judicial education body, rather than as a separate body. This will ensure that the program is connected to the judiciary and involves judges in designing and delivering the social context education programs.","DOI":"10.1080/09695958.2015.1029487","ISSN":"0969-5958","shortTitle":"Judicial education on social context and gender in Canada","author":[{"family":"Dawson","given":"T. Brettel"}],"issued":{"date-parts":[["2014",9,2]]}},"locator":"272"}],"schema":"https://github.com/citation-style-language/schema/raw/master/csl-citation.json"} </w:instrText>
      </w:r>
      <w:r>
        <w:fldChar w:fldCharType="separate"/>
      </w:r>
      <w:r w:rsidRPr="00B21C0A">
        <w:rPr>
          <w:rFonts w:ascii="Calibri" w:hAnsi="Calibri" w:cs="Times New Roman"/>
          <w:i/>
          <w:iCs/>
          <w:szCs w:val="24"/>
        </w:rPr>
        <w:t>Ibid</w:t>
      </w:r>
      <w:r w:rsidRPr="00B21C0A">
        <w:rPr>
          <w:rFonts w:ascii="Calibri" w:hAnsi="Calibri" w:cs="Times New Roman"/>
          <w:szCs w:val="24"/>
        </w:rPr>
        <w:t>.</w:t>
      </w:r>
      <w:r>
        <w:fldChar w:fldCharType="end"/>
      </w:r>
    </w:p>
  </w:footnote>
  <w:footnote w:id="24">
    <w:p w14:paraId="0F9BDF02"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{"citationID":"YPyET0TH","properties":{"formattedCitation":"{\\rtf Dawson, {\\i{}supra} note 3 at 278 FN12 mentions the confidentiality requirements placed on non-judicial faculty in NJI programs.}","plainCitation":"Dawson, supra note 3 at 278 FN12 mentions the confidentiality requirements placed on non-judicial faculty in NJI programs."},"citationItems":[{"id":3478,"uris":["http://zotero.org/groups/902724/items/NDRSQD73"],"uri":["http://zotero.org/groups/902724/items/NDRSQD73"],"itemData":{"id":3478,"type":"article-journal","title":"Judicial Education: Pedagogy for a Change Symposium","container-title":"Journal of Dispute Resolution","page":"175-190","volume":"2015","source":"HeinOnline","abstract":"Since its inception in 1985, the National Judicial Institute (NJI) continues to be a resource to judges as a form of effective judicial education. Specifically, the NJI judicial education model has demonstrated that judicial education will be most effective when it is judge-led, judging focused, skills-based and experiential. Thus, learning by doing (as simulated in a learning setting) has become the preferred mode of judicial learning in NJI programming. However, judicial education requires educators to ensure that judges are also making several shifts in mindset. The author notes that there are four specific processes that are of utmost importance in judicial training, namely Experience, Reflection, Conceptualization, and Application.\nConsidering that judges operate within a  continually changing environment, judges should engage in continuous learning. Judicial education provides the opportunity for judges to enhance their knowledge, their skills, and their awareness of social conditions. Within judicial education programs, judges are able to share information, explore questions, and obtain feedback from peers, thereby learning from one another. Furthermore, judges engage with academics and community members to expose them to systemic injustices and socio-legal trends. As a result, this develops the capacity of judges to take into account a diversity of perspectives, thereby strengthening judicial reasoning and decision-making.","shortTitle":"Judicial Education","journalAbbreviation":"J. Disp. Resol.","language":"eng","author":[{"family":"Dawson","given":"T. Brettel"}],"issued":{"date-parts":[["2015"]]}},"locator":"278 FN12 mentions the confidentiality requirements placed on non-judicial faculty in NJI programs."}],"schema":"https://github.com/citation-style-language/schema/raw/master/csl-citation.json"} </w:instrText>
      </w:r>
      <w:r>
        <w:fldChar w:fldCharType="separate"/>
      </w:r>
      <w:r w:rsidRPr="00B21C0A">
        <w:rPr>
          <w:rFonts w:ascii="Calibri" w:hAnsi="Calibri" w:cs="Times New Roman"/>
          <w:szCs w:val="24"/>
        </w:rPr>
        <w:t xml:space="preserve">Dawson, </w:t>
      </w:r>
      <w:r w:rsidRPr="00B21C0A">
        <w:rPr>
          <w:rFonts w:ascii="Calibri" w:hAnsi="Calibri" w:cs="Times New Roman"/>
          <w:i/>
          <w:iCs/>
          <w:szCs w:val="24"/>
        </w:rPr>
        <w:t>supra</w:t>
      </w:r>
      <w:r w:rsidRPr="00B21C0A">
        <w:rPr>
          <w:rFonts w:ascii="Calibri" w:hAnsi="Calibri" w:cs="Times New Roman"/>
          <w:szCs w:val="24"/>
        </w:rPr>
        <w:t xml:space="preserve"> note 3 at 278 FN12 mentions the confidentiality requirements placed on non-judicial faculty in NJI programs.</w:t>
      </w:r>
      <w:r>
        <w:fldChar w:fldCharType="end"/>
      </w:r>
    </w:p>
  </w:footnote>
  <w:footnote w:id="25">
    <w:p w14:paraId="69C701B4" w14:textId="79C95683"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{"citationID":"nxHpM2Er","properties":{"formattedCitation":"{\\rtf {\\i{}Ibid} at 185 ([t]his is a very inconclusive inquiry in judicial education\").}","plainCitation":"Ibid at 185 ([t]his is a very inconclusive inquiry in judicial education\")."},"citationItems":[{"id":3478,"uris":["http://zotero.org/groups/902724/items/NDRSQD73"],"uri":["http://zotero.org/groups/902724/items/NDRSQD73"],"itemData":{"id":3478,"type":"article-journal","title":"Judicial Education: Pedagogy for a Change Symposium","container-title":"Journal of Dispute Resolution","page":"175-190","volume":"2015","source":"HeinOnline","abstract":"Since its inception in 1985, the National Judicial Institute (NJI) continues to be a resource to judges as a form of effective judicial education. Specifically, the NJI judicial education model has demonstrated that judicial education will be most effective when it is judge-led, judging focused, skills-based and experiential. Thus, learning by doing (as simulated in a learning setting) has become the preferred mode of judicial learning in NJI programming. However, judicial education requires educators to ensure that judges are also making several shifts in mindset. The author notes that there are four specific processes that are of utmost importance in judicial training, namely Experience, Reflection, Conceptualization, and Application.\nConsidering that judges operate within a  continually changing environment, judges should engage in continuous learning. Judicial education provides the opportunity for judges to enhance their knowledge, their skills, and their awareness of social conditions. Within judicial education programs, judges are able to share information, explore questions, and obtain feedback from peers, thereby learning from one another. Furthermore, judges engage with academics and community members to expose them to systemic injustices and socio-legal trends. As a result, this develops the capacity of judges to take into account a diversity of perspectives, thereby strengthening judicial reasoning and decision-making.","shortTitle":"Judicial Education","journalAbbreviation":"J. Disp. Resol.","language":"eng","author":[{"family":"Dawson","given":"T. Brettel"}],"issued":{"date-parts":[["2015"]]}},"locator":"185 ([t]his is a very inconclusive inquiry in judicial education\")"}],"schema":"https://github.com/citation-style-language/schema/raw/master/csl-citation.json"} </w:instrText>
      </w:r>
      <w:r>
        <w:fldChar w:fldCharType="separate"/>
      </w:r>
      <w:r w:rsidRPr="00203EC1">
        <w:rPr>
          <w:rFonts w:ascii="Calibri" w:hAnsi="Calibri" w:cs="Times New Roman"/>
          <w:i/>
          <w:iCs/>
          <w:szCs w:val="24"/>
        </w:rPr>
        <w:t>Ibid</w:t>
      </w:r>
      <w:r w:rsidRPr="00203EC1">
        <w:rPr>
          <w:rFonts w:ascii="Calibri" w:hAnsi="Calibri" w:cs="Times New Roman"/>
          <w:szCs w:val="24"/>
        </w:rPr>
        <w:t xml:space="preserve"> at 185 (</w:t>
      </w:r>
      <w:r w:rsidR="00AC13CE">
        <w:rPr>
          <w:rFonts w:ascii="Calibri" w:hAnsi="Calibri" w:cs="Times New Roman"/>
          <w:szCs w:val="24"/>
        </w:rPr>
        <w:t>"</w:t>
      </w:r>
      <w:r w:rsidRPr="00203EC1">
        <w:rPr>
          <w:rFonts w:ascii="Calibri" w:hAnsi="Calibri" w:cs="Times New Roman"/>
          <w:szCs w:val="24"/>
        </w:rPr>
        <w:t>[t]his is a very inconclusive inquiry in judicial education").</w:t>
      </w:r>
      <w:r>
        <w:fldChar w:fldCharType="end"/>
      </w:r>
    </w:p>
  </w:footnote>
  <w:footnote w:id="26">
    <w:p w14:paraId="12993627" w14:textId="77777777" w:rsidR="00562FB1" w:rsidRDefault="00562FB1" w:rsidP="00CD091A">
      <w:pPr>
        <w:pStyle w:val="FootnoteText"/>
      </w:pPr>
      <w:r>
        <w:rPr>
          <w:rStyle w:val="FootnoteReference"/>
        </w:rPr>
        <w:footnoteRef/>
      </w:r>
      <w:r>
        <w:t xml:space="preserve"> </w:t>
      </w:r>
      <w:r>
        <w:fldChar w:fldCharType="begin"/>
      </w:r>
      <w:r>
        <w:instrText xml:space="preserve"> ADDIN ZOTERO_ITEM CSL_CITATION {"citationID":"eGFuLTxG","properties":{"formattedCitation":"{\\rtf Armytage, {\\i{}supra} note 13 at 173.}","plainCitation":"Armytage, supra note 13 at 173."},"citationItems":[{"id":3361,"uris":["http://zotero.org/groups/237676/items/VQUKVI4N"],"uri":["http://zotero.org/groups/237676/items/VQUKVI4N"],"itemData":{"id":3361,"type":"article-journal","title":"Educating Judges—Where to From Here?","container-title":"Journal of Dispute Resolution","volume":"2015","issue":"1","URL":"http://scholarship.law.missouri.edu/jdr/vol2015/iss1/10","ISSN":"1052-2859","author":[{"family":"Armytage","given":"Livingston"}],"issued":{"date-parts":[["2015",1,1]]}},"locator":"173"}],"schema":"https://github.com/citation-style-language/schema/raw/master/csl-citation.json"} </w:instrText>
      </w:r>
      <w:r>
        <w:fldChar w:fldCharType="separate"/>
      </w:r>
      <w:r w:rsidRPr="000D529D">
        <w:rPr>
          <w:rFonts w:ascii="Calibri" w:hAnsi="Calibri" w:cs="Times New Roman"/>
          <w:szCs w:val="24"/>
        </w:rPr>
        <w:t xml:space="preserve">Armytage, </w:t>
      </w:r>
      <w:r w:rsidRPr="000D529D">
        <w:rPr>
          <w:rFonts w:ascii="Calibri" w:hAnsi="Calibri" w:cs="Times New Roman"/>
          <w:i/>
          <w:iCs/>
          <w:szCs w:val="24"/>
        </w:rPr>
        <w:t>supra</w:t>
      </w:r>
      <w:r w:rsidRPr="000D529D">
        <w:rPr>
          <w:rFonts w:ascii="Calibri" w:hAnsi="Calibri" w:cs="Times New Roman"/>
          <w:szCs w:val="24"/>
        </w:rPr>
        <w:t xml:space="preserve"> note 13 at 173.</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DF2"/>
    <w:multiLevelType w:val="hybridMultilevel"/>
    <w:tmpl w:val="28884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3E28A1"/>
    <w:multiLevelType w:val="hybridMultilevel"/>
    <w:tmpl w:val="B5421EC2"/>
    <w:lvl w:ilvl="0" w:tplc="66BCA458">
      <w:start w:val="1"/>
      <w:numFmt w:val="upperRoman"/>
      <w:lvlText w:val="%1."/>
      <w:lvlJc w:val="left"/>
      <w:pPr>
        <w:ind w:left="319" w:hanging="214"/>
      </w:pPr>
      <w:rPr>
        <w:rFonts w:ascii="Times New Roman" w:eastAsia="Times New Roman" w:hAnsi="Times New Roman" w:hint="default"/>
        <w:b/>
        <w:bCs/>
        <w:sz w:val="24"/>
        <w:szCs w:val="24"/>
      </w:rPr>
    </w:lvl>
    <w:lvl w:ilvl="1" w:tplc="32D69D6A">
      <w:start w:val="1"/>
      <w:numFmt w:val="bullet"/>
      <w:lvlText w:val="•"/>
      <w:lvlJc w:val="left"/>
      <w:pPr>
        <w:ind w:left="1215" w:hanging="214"/>
      </w:pPr>
      <w:rPr>
        <w:rFonts w:hint="default"/>
      </w:rPr>
    </w:lvl>
    <w:lvl w:ilvl="2" w:tplc="7236082C">
      <w:start w:val="1"/>
      <w:numFmt w:val="bullet"/>
      <w:lvlText w:val="•"/>
      <w:lvlJc w:val="left"/>
      <w:pPr>
        <w:ind w:left="2111" w:hanging="214"/>
      </w:pPr>
      <w:rPr>
        <w:rFonts w:hint="default"/>
      </w:rPr>
    </w:lvl>
    <w:lvl w:ilvl="3" w:tplc="FFAC152A">
      <w:start w:val="1"/>
      <w:numFmt w:val="bullet"/>
      <w:lvlText w:val="•"/>
      <w:lvlJc w:val="left"/>
      <w:pPr>
        <w:ind w:left="3007" w:hanging="214"/>
      </w:pPr>
      <w:rPr>
        <w:rFonts w:hint="default"/>
      </w:rPr>
    </w:lvl>
    <w:lvl w:ilvl="4" w:tplc="611CD318">
      <w:start w:val="1"/>
      <w:numFmt w:val="bullet"/>
      <w:lvlText w:val="•"/>
      <w:lvlJc w:val="left"/>
      <w:pPr>
        <w:ind w:left="3903" w:hanging="214"/>
      </w:pPr>
      <w:rPr>
        <w:rFonts w:hint="default"/>
      </w:rPr>
    </w:lvl>
    <w:lvl w:ilvl="5" w:tplc="B9EADB80">
      <w:start w:val="1"/>
      <w:numFmt w:val="bullet"/>
      <w:lvlText w:val="•"/>
      <w:lvlJc w:val="left"/>
      <w:pPr>
        <w:ind w:left="4799" w:hanging="214"/>
      </w:pPr>
      <w:rPr>
        <w:rFonts w:hint="default"/>
      </w:rPr>
    </w:lvl>
    <w:lvl w:ilvl="6" w:tplc="3BDA7390">
      <w:start w:val="1"/>
      <w:numFmt w:val="bullet"/>
      <w:lvlText w:val="•"/>
      <w:lvlJc w:val="left"/>
      <w:pPr>
        <w:ind w:left="5695" w:hanging="214"/>
      </w:pPr>
      <w:rPr>
        <w:rFonts w:hint="default"/>
      </w:rPr>
    </w:lvl>
    <w:lvl w:ilvl="7" w:tplc="CFF0D83A">
      <w:start w:val="1"/>
      <w:numFmt w:val="bullet"/>
      <w:lvlText w:val="•"/>
      <w:lvlJc w:val="left"/>
      <w:pPr>
        <w:ind w:left="6591" w:hanging="214"/>
      </w:pPr>
      <w:rPr>
        <w:rFonts w:hint="default"/>
      </w:rPr>
    </w:lvl>
    <w:lvl w:ilvl="8" w:tplc="A4280860">
      <w:start w:val="1"/>
      <w:numFmt w:val="bullet"/>
      <w:lvlText w:val="•"/>
      <w:lvlJc w:val="left"/>
      <w:pPr>
        <w:ind w:left="7487" w:hanging="214"/>
      </w:pPr>
      <w:rPr>
        <w:rFonts w:hint="default"/>
      </w:rPr>
    </w:lvl>
  </w:abstractNum>
  <w:abstractNum w:abstractNumId="2" w15:restartNumberingAfterBreak="0">
    <w:nsid w:val="24F75208"/>
    <w:multiLevelType w:val="hybridMultilevel"/>
    <w:tmpl w:val="7D96421A"/>
    <w:lvl w:ilvl="0" w:tplc="0405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B424E7"/>
    <w:multiLevelType w:val="hybridMultilevel"/>
    <w:tmpl w:val="C2B8A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DD277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B55104"/>
    <w:multiLevelType w:val="hybridMultilevel"/>
    <w:tmpl w:val="896EA482"/>
    <w:lvl w:ilvl="0" w:tplc="AC68A258">
      <w:start w:val="1"/>
      <w:numFmt w:val="lowerLetter"/>
      <w:lvlText w:val="%1)"/>
      <w:lvlJc w:val="left"/>
      <w:pPr>
        <w:ind w:left="365" w:hanging="260"/>
      </w:pPr>
      <w:rPr>
        <w:rFonts w:ascii="Times New Roman" w:eastAsia="Times New Roman" w:hAnsi="Times New Roman" w:hint="default"/>
        <w:b/>
        <w:bCs/>
        <w:sz w:val="24"/>
        <w:szCs w:val="24"/>
      </w:rPr>
    </w:lvl>
    <w:lvl w:ilvl="1" w:tplc="AD0C5716">
      <w:start w:val="1"/>
      <w:numFmt w:val="bullet"/>
      <w:lvlText w:val="•"/>
      <w:lvlJc w:val="left"/>
      <w:pPr>
        <w:ind w:left="1256" w:hanging="260"/>
      </w:pPr>
      <w:rPr>
        <w:rFonts w:hint="default"/>
      </w:rPr>
    </w:lvl>
    <w:lvl w:ilvl="2" w:tplc="80AE00C2">
      <w:start w:val="1"/>
      <w:numFmt w:val="bullet"/>
      <w:lvlText w:val="•"/>
      <w:lvlJc w:val="left"/>
      <w:pPr>
        <w:ind w:left="2148" w:hanging="260"/>
      </w:pPr>
      <w:rPr>
        <w:rFonts w:hint="default"/>
      </w:rPr>
    </w:lvl>
    <w:lvl w:ilvl="3" w:tplc="5A1686F6">
      <w:start w:val="1"/>
      <w:numFmt w:val="bullet"/>
      <w:lvlText w:val="•"/>
      <w:lvlJc w:val="left"/>
      <w:pPr>
        <w:ind w:left="3039" w:hanging="260"/>
      </w:pPr>
      <w:rPr>
        <w:rFonts w:hint="default"/>
      </w:rPr>
    </w:lvl>
    <w:lvl w:ilvl="4" w:tplc="F4B8FD74">
      <w:start w:val="1"/>
      <w:numFmt w:val="bullet"/>
      <w:lvlText w:val="•"/>
      <w:lvlJc w:val="left"/>
      <w:pPr>
        <w:ind w:left="3931" w:hanging="260"/>
      </w:pPr>
      <w:rPr>
        <w:rFonts w:hint="default"/>
      </w:rPr>
    </w:lvl>
    <w:lvl w:ilvl="5" w:tplc="F112CAF4">
      <w:start w:val="1"/>
      <w:numFmt w:val="bullet"/>
      <w:lvlText w:val="•"/>
      <w:lvlJc w:val="left"/>
      <w:pPr>
        <w:ind w:left="4822" w:hanging="260"/>
      </w:pPr>
      <w:rPr>
        <w:rFonts w:hint="default"/>
      </w:rPr>
    </w:lvl>
    <w:lvl w:ilvl="6" w:tplc="7910C5A4">
      <w:start w:val="1"/>
      <w:numFmt w:val="bullet"/>
      <w:lvlText w:val="•"/>
      <w:lvlJc w:val="left"/>
      <w:pPr>
        <w:ind w:left="5714" w:hanging="260"/>
      </w:pPr>
      <w:rPr>
        <w:rFonts w:hint="default"/>
      </w:rPr>
    </w:lvl>
    <w:lvl w:ilvl="7" w:tplc="DE88C602">
      <w:start w:val="1"/>
      <w:numFmt w:val="bullet"/>
      <w:lvlText w:val="•"/>
      <w:lvlJc w:val="left"/>
      <w:pPr>
        <w:ind w:left="6605" w:hanging="260"/>
      </w:pPr>
      <w:rPr>
        <w:rFonts w:hint="default"/>
      </w:rPr>
    </w:lvl>
    <w:lvl w:ilvl="8" w:tplc="B758328A">
      <w:start w:val="1"/>
      <w:numFmt w:val="bullet"/>
      <w:lvlText w:val="•"/>
      <w:lvlJc w:val="left"/>
      <w:pPr>
        <w:ind w:left="7497" w:hanging="260"/>
      </w:pPr>
      <w:rPr>
        <w:rFonts w:hint="default"/>
      </w:rPr>
    </w:lvl>
  </w:abstractNum>
  <w:abstractNum w:abstractNumId="6" w15:restartNumberingAfterBreak="0">
    <w:nsid w:val="625F1B15"/>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72B1D2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DC59BB"/>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26E44D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342844"/>
    <w:multiLevelType w:val="hybridMultilevel"/>
    <w:tmpl w:val="C1D23B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FCC0854"/>
    <w:multiLevelType w:val="hybridMultilevel"/>
    <w:tmpl w:val="4F40B1C0"/>
    <w:lvl w:ilvl="0" w:tplc="0405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0"/>
  </w:num>
  <w:num w:numId="5">
    <w:abstractNumId w:val="8"/>
  </w:num>
  <w:num w:numId="6">
    <w:abstractNumId w:val="0"/>
  </w:num>
  <w:num w:numId="7">
    <w:abstractNumId w:val="4"/>
  </w:num>
  <w:num w:numId="8">
    <w:abstractNumId w:val="11"/>
  </w:num>
  <w:num w:numId="9">
    <w:abstractNumId w:val="2"/>
  </w:num>
  <w:num w:numId="10">
    <w:abstractNumId w:val="6"/>
    <w:lvlOverride w:ilvl="0">
      <w:startOverride w:val="8"/>
    </w:lvlOverride>
    <w:lvlOverride w:ilvl="1">
      <w:startOverride w:val="3"/>
    </w:lvlOverride>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C3"/>
    <w:rsid w:val="000133F7"/>
    <w:rsid w:val="00042778"/>
    <w:rsid w:val="00044B2D"/>
    <w:rsid w:val="000A2FA5"/>
    <w:rsid w:val="000D529D"/>
    <w:rsid w:val="000F2287"/>
    <w:rsid w:val="00157093"/>
    <w:rsid w:val="001D09EA"/>
    <w:rsid w:val="001D3BCE"/>
    <w:rsid w:val="001F48C3"/>
    <w:rsid w:val="00203EC1"/>
    <w:rsid w:val="00283C1F"/>
    <w:rsid w:val="002B2FAF"/>
    <w:rsid w:val="00334330"/>
    <w:rsid w:val="00346999"/>
    <w:rsid w:val="00415002"/>
    <w:rsid w:val="004C6EDE"/>
    <w:rsid w:val="004E5278"/>
    <w:rsid w:val="005032ED"/>
    <w:rsid w:val="00522C33"/>
    <w:rsid w:val="00523DE9"/>
    <w:rsid w:val="00534ACB"/>
    <w:rsid w:val="005503BA"/>
    <w:rsid w:val="00562FB1"/>
    <w:rsid w:val="00594C73"/>
    <w:rsid w:val="005E7BAC"/>
    <w:rsid w:val="005F7D02"/>
    <w:rsid w:val="00674509"/>
    <w:rsid w:val="00687FE1"/>
    <w:rsid w:val="006F2358"/>
    <w:rsid w:val="006F7667"/>
    <w:rsid w:val="0073632B"/>
    <w:rsid w:val="00863137"/>
    <w:rsid w:val="00880A63"/>
    <w:rsid w:val="008918F7"/>
    <w:rsid w:val="00895088"/>
    <w:rsid w:val="008A0C98"/>
    <w:rsid w:val="008B7F64"/>
    <w:rsid w:val="0093670F"/>
    <w:rsid w:val="009565F3"/>
    <w:rsid w:val="009872CE"/>
    <w:rsid w:val="00991099"/>
    <w:rsid w:val="009F2004"/>
    <w:rsid w:val="00A45D6A"/>
    <w:rsid w:val="00AB10B4"/>
    <w:rsid w:val="00AC13CE"/>
    <w:rsid w:val="00B21C0A"/>
    <w:rsid w:val="00CB1854"/>
    <w:rsid w:val="00CD091A"/>
    <w:rsid w:val="00D763F2"/>
    <w:rsid w:val="00D90075"/>
    <w:rsid w:val="00D91C33"/>
    <w:rsid w:val="00E063A6"/>
    <w:rsid w:val="00E248F5"/>
    <w:rsid w:val="00E72EE2"/>
    <w:rsid w:val="00EB5931"/>
    <w:rsid w:val="00ED4F54"/>
    <w:rsid w:val="00ED602B"/>
    <w:rsid w:val="00F60EE7"/>
    <w:rsid w:val="00F81A59"/>
    <w:rsid w:val="00F91260"/>
    <w:rsid w:val="00FD71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0704C5"/>
  <w15:docId w15:val="{B6C46DDD-3C8B-4320-8AEE-3382D8A9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91A"/>
  </w:style>
  <w:style w:type="paragraph" w:styleId="Heading1">
    <w:name w:val="heading 1"/>
    <w:basedOn w:val="Normal"/>
    <w:next w:val="Normal"/>
    <w:link w:val="Heading1Char"/>
    <w:uiPriority w:val="1"/>
    <w:qFormat/>
    <w:rsid w:val="0034699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0EE7"/>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699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699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4699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699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699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699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699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48C3"/>
    <w:pPr>
      <w:ind w:left="720"/>
      <w:contextualSpacing/>
    </w:pPr>
  </w:style>
  <w:style w:type="paragraph" w:styleId="Title">
    <w:name w:val="Title"/>
    <w:basedOn w:val="Normal"/>
    <w:next w:val="Normal"/>
    <w:link w:val="TitleChar"/>
    <w:uiPriority w:val="10"/>
    <w:qFormat/>
    <w:rsid w:val="00F60E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0EE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60EE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1"/>
    <w:rsid w:val="0034699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469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469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469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469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469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469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46999"/>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346999"/>
    <w:pPr>
      <w:spacing w:after="0" w:line="240" w:lineRule="auto"/>
    </w:pPr>
    <w:rPr>
      <w:lang w:val="en-US"/>
    </w:rPr>
  </w:style>
  <w:style w:type="paragraph" w:styleId="FootnoteText">
    <w:name w:val="footnote text"/>
    <w:basedOn w:val="Normal"/>
    <w:link w:val="FootnoteTextChar"/>
    <w:uiPriority w:val="99"/>
    <w:unhideWhenUsed/>
    <w:rsid w:val="00ED4F54"/>
    <w:pPr>
      <w:spacing w:after="0" w:line="240" w:lineRule="auto"/>
    </w:pPr>
    <w:rPr>
      <w:sz w:val="20"/>
      <w:szCs w:val="20"/>
    </w:rPr>
  </w:style>
  <w:style w:type="character" w:customStyle="1" w:styleId="FootnoteTextChar">
    <w:name w:val="Footnote Text Char"/>
    <w:basedOn w:val="DefaultParagraphFont"/>
    <w:link w:val="FootnoteText"/>
    <w:uiPriority w:val="99"/>
    <w:rsid w:val="00ED4F54"/>
    <w:rPr>
      <w:sz w:val="20"/>
      <w:szCs w:val="20"/>
    </w:rPr>
  </w:style>
  <w:style w:type="character" w:styleId="FootnoteReference">
    <w:name w:val="footnote reference"/>
    <w:basedOn w:val="DefaultParagraphFont"/>
    <w:uiPriority w:val="99"/>
    <w:semiHidden/>
    <w:unhideWhenUsed/>
    <w:rsid w:val="00ED4F54"/>
    <w:rPr>
      <w:vertAlign w:val="superscript"/>
    </w:rPr>
  </w:style>
  <w:style w:type="character" w:styleId="Hyperlink">
    <w:name w:val="Hyperlink"/>
    <w:basedOn w:val="DefaultParagraphFont"/>
    <w:uiPriority w:val="99"/>
    <w:unhideWhenUsed/>
    <w:rsid w:val="00863137"/>
    <w:rPr>
      <w:color w:val="0000FF" w:themeColor="hyperlink"/>
      <w:u w:val="single"/>
    </w:rPr>
  </w:style>
  <w:style w:type="table" w:styleId="TableGrid">
    <w:name w:val="Table Grid"/>
    <w:basedOn w:val="TableNormal"/>
    <w:uiPriority w:val="59"/>
    <w:rsid w:val="00D90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65F3"/>
    <w:rPr>
      <w:sz w:val="18"/>
      <w:szCs w:val="18"/>
    </w:rPr>
  </w:style>
  <w:style w:type="paragraph" w:styleId="CommentText">
    <w:name w:val="annotation text"/>
    <w:basedOn w:val="Normal"/>
    <w:link w:val="CommentTextChar"/>
    <w:uiPriority w:val="99"/>
    <w:semiHidden/>
    <w:unhideWhenUsed/>
    <w:rsid w:val="009565F3"/>
    <w:pPr>
      <w:spacing w:line="240" w:lineRule="auto"/>
    </w:pPr>
    <w:rPr>
      <w:sz w:val="24"/>
      <w:szCs w:val="24"/>
    </w:rPr>
  </w:style>
  <w:style w:type="character" w:customStyle="1" w:styleId="CommentTextChar">
    <w:name w:val="Comment Text Char"/>
    <w:basedOn w:val="DefaultParagraphFont"/>
    <w:link w:val="CommentText"/>
    <w:uiPriority w:val="99"/>
    <w:semiHidden/>
    <w:rsid w:val="009565F3"/>
    <w:rPr>
      <w:sz w:val="24"/>
      <w:szCs w:val="24"/>
    </w:rPr>
  </w:style>
  <w:style w:type="paragraph" w:styleId="CommentSubject">
    <w:name w:val="annotation subject"/>
    <w:basedOn w:val="CommentText"/>
    <w:next w:val="CommentText"/>
    <w:link w:val="CommentSubjectChar"/>
    <w:uiPriority w:val="99"/>
    <w:semiHidden/>
    <w:unhideWhenUsed/>
    <w:rsid w:val="009565F3"/>
    <w:rPr>
      <w:b/>
      <w:bCs/>
      <w:sz w:val="20"/>
      <w:szCs w:val="20"/>
    </w:rPr>
  </w:style>
  <w:style w:type="character" w:customStyle="1" w:styleId="CommentSubjectChar">
    <w:name w:val="Comment Subject Char"/>
    <w:basedOn w:val="CommentTextChar"/>
    <w:link w:val="CommentSubject"/>
    <w:uiPriority w:val="99"/>
    <w:semiHidden/>
    <w:rsid w:val="009565F3"/>
    <w:rPr>
      <w:b/>
      <w:bCs/>
      <w:sz w:val="20"/>
      <w:szCs w:val="20"/>
    </w:rPr>
  </w:style>
  <w:style w:type="paragraph" w:styleId="BalloonText">
    <w:name w:val="Balloon Text"/>
    <w:basedOn w:val="Normal"/>
    <w:link w:val="BalloonTextChar"/>
    <w:uiPriority w:val="99"/>
    <w:semiHidden/>
    <w:unhideWhenUsed/>
    <w:rsid w:val="009565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5F3"/>
    <w:rPr>
      <w:rFonts w:ascii="Lucida Grande" w:hAnsi="Lucida Grande" w:cs="Lucida Grande"/>
      <w:sz w:val="18"/>
      <w:szCs w:val="18"/>
    </w:rPr>
  </w:style>
  <w:style w:type="paragraph" w:styleId="BodyText">
    <w:name w:val="Body Text"/>
    <w:basedOn w:val="Normal"/>
    <w:link w:val="BodyTextChar"/>
    <w:uiPriority w:val="1"/>
    <w:qFormat/>
    <w:rsid w:val="000F2287"/>
    <w:pPr>
      <w:widowControl w:val="0"/>
      <w:spacing w:before="9" w:after="0" w:line="240" w:lineRule="auto"/>
      <w:ind w:left="105"/>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0F2287"/>
    <w:rPr>
      <w:rFonts w:ascii="Times New Roman" w:eastAsia="Times New Roman" w:hAnsi="Times New Roman"/>
      <w:sz w:val="24"/>
      <w:szCs w:val="24"/>
      <w:lang w:val="en-US"/>
    </w:rPr>
  </w:style>
  <w:style w:type="paragraph" w:customStyle="1" w:styleId="TableParagraph">
    <w:name w:val="Table Paragraph"/>
    <w:basedOn w:val="Normal"/>
    <w:uiPriority w:val="1"/>
    <w:qFormat/>
    <w:rsid w:val="000F2287"/>
    <w:pPr>
      <w:widowControl w:val="0"/>
      <w:spacing w:after="0" w:line="240" w:lineRule="auto"/>
    </w:pPr>
    <w:rPr>
      <w:lang w:val="en-US"/>
    </w:rPr>
  </w:style>
  <w:style w:type="paragraph" w:styleId="Subtitle">
    <w:name w:val="Subtitle"/>
    <w:basedOn w:val="Normal"/>
    <w:next w:val="Normal"/>
    <w:link w:val="SubtitleChar"/>
    <w:uiPriority w:val="11"/>
    <w:qFormat/>
    <w:rsid w:val="004C6ED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6ED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72780">
      <w:bodyDiv w:val="1"/>
      <w:marLeft w:val="0"/>
      <w:marRight w:val="0"/>
      <w:marTop w:val="0"/>
      <w:marBottom w:val="0"/>
      <w:divBdr>
        <w:top w:val="none" w:sz="0" w:space="0" w:color="auto"/>
        <w:left w:val="none" w:sz="0" w:space="0" w:color="auto"/>
        <w:bottom w:val="none" w:sz="0" w:space="0" w:color="auto"/>
        <w:right w:val="none" w:sz="0" w:space="0" w:color="auto"/>
      </w:divBdr>
      <w:divsChild>
        <w:div w:id="916593570">
          <w:marLeft w:val="0"/>
          <w:marRight w:val="0"/>
          <w:marTop w:val="0"/>
          <w:marBottom w:val="0"/>
          <w:divBdr>
            <w:top w:val="none" w:sz="0" w:space="0" w:color="auto"/>
            <w:left w:val="none" w:sz="0" w:space="0" w:color="auto"/>
            <w:bottom w:val="none" w:sz="0" w:space="0" w:color="auto"/>
            <w:right w:val="none" w:sz="0" w:space="0" w:color="auto"/>
          </w:divBdr>
          <w:divsChild>
            <w:div w:id="2914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908">
      <w:bodyDiv w:val="1"/>
      <w:marLeft w:val="0"/>
      <w:marRight w:val="0"/>
      <w:marTop w:val="0"/>
      <w:marBottom w:val="0"/>
      <w:divBdr>
        <w:top w:val="none" w:sz="0" w:space="0" w:color="auto"/>
        <w:left w:val="none" w:sz="0" w:space="0" w:color="auto"/>
        <w:bottom w:val="none" w:sz="0" w:space="0" w:color="auto"/>
        <w:right w:val="none" w:sz="0" w:space="0" w:color="auto"/>
      </w:divBdr>
      <w:divsChild>
        <w:div w:id="984891883">
          <w:marLeft w:val="0"/>
          <w:marRight w:val="0"/>
          <w:marTop w:val="0"/>
          <w:marBottom w:val="0"/>
          <w:divBdr>
            <w:top w:val="none" w:sz="0" w:space="0" w:color="auto"/>
            <w:left w:val="none" w:sz="0" w:space="0" w:color="auto"/>
            <w:bottom w:val="none" w:sz="0" w:space="0" w:color="auto"/>
            <w:right w:val="none" w:sz="0" w:space="0" w:color="auto"/>
          </w:divBdr>
          <w:divsChild>
            <w:div w:id="5463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fls.osgoode.york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lp.info.yorku.ca/third-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8E0B-C0BC-4E1E-8A46-274AF269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5514</Words>
  <Characters>29613</Characters>
  <Application>Microsoft Office Word</Application>
  <DocSecurity>4</DocSecurity>
  <Lines>441</Lines>
  <Paragraphs>125</Paragraphs>
  <ScaleCrop>false</ScaleCrop>
  <HeadingPairs>
    <vt:vector size="2" baseType="variant">
      <vt:variant>
        <vt:lpstr>Title</vt:lpstr>
      </vt:variant>
      <vt:variant>
        <vt:i4>1</vt:i4>
      </vt:variant>
    </vt:vector>
  </HeadingPairs>
  <TitlesOfParts>
    <vt:vector size="1" baseType="lpstr">
      <vt:lpstr/>
    </vt:vector>
  </TitlesOfParts>
  <Company>Osgoode Hall Law School</Company>
  <LinksUpToDate>false</LinksUpToDate>
  <CharactersWithSpaces>35002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N Lawrence</dc:creator>
  <cp:lastModifiedBy>Sonia N Lawrence</cp:lastModifiedBy>
  <cp:revision>2</cp:revision>
  <dcterms:created xsi:type="dcterms:W3CDTF">2018-01-09T15:59:00Z</dcterms:created>
  <dcterms:modified xsi:type="dcterms:W3CDTF">2018-01-09T15:59:00Z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id="brDeRHeH"/&gt;&lt;style id="http://www.zotero.org/styles/mcgill-en" hasBibliography="1" bibliographyStyleHasBeenSet="0"/&gt;&lt;prefs&gt;&lt;pref name="fieldType" value="Field"/&gt;&lt;pref name="storeReferences" val</vt:lpwstr>
  </property>
  <property fmtid="{D5CDD505-2E9C-101B-9397-08002B2CF9AE}" pid="3" name="ZOTERO_PREF_2">
    <vt:lpwstr>ue="true"/&gt;&lt;pref name="automaticJournalAbbreviations" value="true"/&gt;&lt;pref name="noteType" value="1"/&gt;&lt;/prefs&gt;&lt;/data&gt;</vt:lpwstr>
  </property>
</Properties>
</file>